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31BA4" w14:textId="77777777" w:rsidR="00274243" w:rsidRPr="005E4AC4" w:rsidRDefault="00274243" w:rsidP="00274243">
      <w:pPr>
        <w:jc w:val="center"/>
        <w:rPr>
          <w:rFonts w:asciiTheme="majorHAnsi" w:hAnsiTheme="majorHAnsi"/>
          <w:b/>
          <w:bCs/>
          <w:sz w:val="22"/>
          <w:szCs w:val="22"/>
          <w:u w:val="single"/>
        </w:rPr>
      </w:pPr>
      <w:r w:rsidRPr="005E4AC4">
        <w:rPr>
          <w:rFonts w:asciiTheme="majorHAnsi" w:hAnsiTheme="majorHAnsi"/>
          <w:b/>
          <w:bCs/>
          <w:sz w:val="22"/>
          <w:szCs w:val="22"/>
          <w:u w:val="single"/>
        </w:rPr>
        <w:t>2019 AMICUS BRIEF SUMMARIES</w:t>
      </w:r>
    </w:p>
    <w:p w14:paraId="59F81980" w14:textId="77777777" w:rsidR="001019A1" w:rsidRPr="00C46090" w:rsidRDefault="001019A1" w:rsidP="00274243">
      <w:pPr>
        <w:rPr>
          <w:rFonts w:asciiTheme="majorHAnsi" w:hAnsiTheme="majorHAnsi"/>
          <w:sz w:val="22"/>
          <w:szCs w:val="22"/>
        </w:rPr>
      </w:pPr>
    </w:p>
    <w:p w14:paraId="46EC9B57" w14:textId="24F3DCF4" w:rsidR="008B112C" w:rsidRPr="00C46090" w:rsidRDefault="002B700C" w:rsidP="00274243">
      <w:pPr>
        <w:pStyle w:val="ListParagraph"/>
        <w:numPr>
          <w:ilvl w:val="0"/>
          <w:numId w:val="1"/>
        </w:numPr>
        <w:rPr>
          <w:rFonts w:asciiTheme="majorHAnsi" w:hAnsiTheme="majorHAnsi"/>
          <w:b/>
          <w:sz w:val="22"/>
          <w:szCs w:val="22"/>
        </w:rPr>
      </w:pPr>
      <w:r w:rsidRPr="00C46090">
        <w:rPr>
          <w:rFonts w:asciiTheme="majorHAnsi" w:hAnsiTheme="majorHAnsi"/>
          <w:b/>
          <w:i/>
          <w:sz w:val="22"/>
          <w:szCs w:val="22"/>
          <w:u w:val="single"/>
        </w:rPr>
        <w:t xml:space="preserve">Ashley </w:t>
      </w:r>
      <w:r w:rsidR="008B112C" w:rsidRPr="00C46090">
        <w:rPr>
          <w:rFonts w:asciiTheme="majorHAnsi" w:hAnsiTheme="majorHAnsi"/>
          <w:b/>
          <w:i/>
          <w:sz w:val="22"/>
          <w:szCs w:val="22"/>
          <w:u w:val="single"/>
        </w:rPr>
        <w:t>Judd</w:t>
      </w:r>
      <w:r w:rsidRPr="00C46090">
        <w:rPr>
          <w:rFonts w:asciiTheme="majorHAnsi" w:hAnsiTheme="majorHAnsi"/>
          <w:b/>
          <w:i/>
          <w:sz w:val="22"/>
          <w:szCs w:val="22"/>
          <w:u w:val="single"/>
        </w:rPr>
        <w:t xml:space="preserve"> v. Harvey Weinstein</w:t>
      </w:r>
      <w:r w:rsidRPr="00C46090">
        <w:rPr>
          <w:rFonts w:asciiTheme="majorHAnsi" w:hAnsiTheme="majorHAnsi"/>
          <w:b/>
          <w:sz w:val="22"/>
          <w:szCs w:val="22"/>
        </w:rPr>
        <w:t xml:space="preserve"> (</w:t>
      </w:r>
      <w:r w:rsidR="002E273B" w:rsidRPr="00C46090">
        <w:rPr>
          <w:rFonts w:asciiTheme="majorHAnsi" w:hAnsiTheme="majorHAnsi"/>
          <w:b/>
          <w:sz w:val="22"/>
          <w:szCs w:val="22"/>
        </w:rPr>
        <w:t xml:space="preserve">District </w:t>
      </w:r>
      <w:r w:rsidR="004F1566" w:rsidRPr="00C46090">
        <w:rPr>
          <w:rFonts w:asciiTheme="majorHAnsi" w:hAnsiTheme="majorHAnsi"/>
          <w:b/>
          <w:sz w:val="22"/>
          <w:szCs w:val="22"/>
        </w:rPr>
        <w:t>C</w:t>
      </w:r>
      <w:r w:rsidR="002E273B" w:rsidRPr="00C46090">
        <w:rPr>
          <w:rFonts w:asciiTheme="majorHAnsi" w:hAnsiTheme="majorHAnsi"/>
          <w:b/>
          <w:sz w:val="22"/>
          <w:szCs w:val="22"/>
        </w:rPr>
        <w:t xml:space="preserve">ourt for the Central District of </w:t>
      </w:r>
      <w:r w:rsidR="004F1566" w:rsidRPr="00C46090">
        <w:rPr>
          <w:rFonts w:asciiTheme="majorHAnsi" w:hAnsiTheme="majorHAnsi"/>
          <w:b/>
          <w:sz w:val="22"/>
          <w:szCs w:val="22"/>
        </w:rPr>
        <w:t>C</w:t>
      </w:r>
      <w:r w:rsidR="00AA6233">
        <w:rPr>
          <w:rFonts w:asciiTheme="majorHAnsi" w:hAnsiTheme="majorHAnsi"/>
          <w:b/>
          <w:sz w:val="22"/>
          <w:szCs w:val="22"/>
        </w:rPr>
        <w:t>alifornia</w:t>
      </w:r>
      <w:r w:rsidRPr="00C46090">
        <w:rPr>
          <w:rFonts w:asciiTheme="majorHAnsi" w:hAnsiTheme="majorHAnsi"/>
          <w:b/>
          <w:sz w:val="22"/>
          <w:szCs w:val="22"/>
        </w:rPr>
        <w:t>), filed 12/17/18</w:t>
      </w:r>
    </w:p>
    <w:p w14:paraId="2EB819B7" w14:textId="35F28F1D" w:rsidR="002B700C" w:rsidRPr="00C46090" w:rsidRDefault="002B700C" w:rsidP="002B700C">
      <w:pPr>
        <w:rPr>
          <w:rFonts w:asciiTheme="majorHAnsi" w:hAnsiTheme="majorHAnsi"/>
          <w:b/>
          <w:i/>
          <w:sz w:val="22"/>
          <w:szCs w:val="22"/>
        </w:rPr>
      </w:pPr>
      <w:r w:rsidRPr="00C46090">
        <w:rPr>
          <w:rFonts w:asciiTheme="majorHAnsi" w:hAnsiTheme="majorHAnsi"/>
          <w:b/>
          <w:i/>
          <w:sz w:val="22"/>
          <w:szCs w:val="22"/>
        </w:rPr>
        <w:t>Sexual Harassment</w:t>
      </w:r>
    </w:p>
    <w:p w14:paraId="35691065" w14:textId="4135CB33" w:rsidR="002B700C" w:rsidRPr="00C46090" w:rsidRDefault="002B700C" w:rsidP="002B700C">
      <w:pPr>
        <w:rPr>
          <w:rFonts w:asciiTheme="majorHAnsi" w:hAnsiTheme="majorHAnsi"/>
          <w:b/>
          <w:sz w:val="22"/>
          <w:szCs w:val="22"/>
        </w:rPr>
      </w:pPr>
      <w:r w:rsidRPr="00C46090">
        <w:rPr>
          <w:rFonts w:asciiTheme="majorHAnsi" w:hAnsiTheme="majorHAnsi"/>
          <w:b/>
          <w:sz w:val="22"/>
          <w:szCs w:val="22"/>
        </w:rPr>
        <w:t>Author: C</w:t>
      </w:r>
      <w:r w:rsidR="00AA6233">
        <w:rPr>
          <w:rFonts w:asciiTheme="majorHAnsi" w:hAnsiTheme="majorHAnsi"/>
          <w:b/>
          <w:sz w:val="22"/>
          <w:szCs w:val="22"/>
        </w:rPr>
        <w:t>alifornia Women’s Law Center</w:t>
      </w:r>
    </w:p>
    <w:p w14:paraId="4589DA26" w14:textId="5482D060" w:rsidR="002B700C" w:rsidRPr="00C46090" w:rsidRDefault="002B700C" w:rsidP="002B700C">
      <w:pPr>
        <w:rPr>
          <w:rFonts w:asciiTheme="majorHAnsi" w:hAnsiTheme="majorHAnsi"/>
          <w:b/>
          <w:sz w:val="22"/>
          <w:szCs w:val="22"/>
        </w:rPr>
      </w:pPr>
    </w:p>
    <w:p w14:paraId="113993BC" w14:textId="1A4DE054" w:rsidR="00E764E9" w:rsidRDefault="00AA6233" w:rsidP="00B17C8C">
      <w:pPr>
        <w:rPr>
          <w:rFonts w:asciiTheme="majorHAnsi" w:hAnsiTheme="majorHAnsi"/>
          <w:sz w:val="22"/>
          <w:szCs w:val="22"/>
        </w:rPr>
      </w:pPr>
      <w:r>
        <w:rPr>
          <w:rFonts w:asciiTheme="majorHAnsi" w:hAnsiTheme="majorHAnsi"/>
          <w:sz w:val="22"/>
          <w:szCs w:val="22"/>
        </w:rPr>
        <w:t>This</w:t>
      </w:r>
      <w:r w:rsidR="002B700C" w:rsidRPr="00C46090">
        <w:rPr>
          <w:rFonts w:asciiTheme="majorHAnsi" w:hAnsiTheme="majorHAnsi"/>
          <w:sz w:val="22"/>
          <w:szCs w:val="22"/>
        </w:rPr>
        <w:t xml:space="preserve"> amicus brief </w:t>
      </w:r>
      <w:r w:rsidR="00E764E9" w:rsidRPr="00C46090">
        <w:rPr>
          <w:rFonts w:asciiTheme="majorHAnsi" w:hAnsiTheme="majorHAnsi"/>
          <w:sz w:val="22"/>
          <w:szCs w:val="22"/>
        </w:rPr>
        <w:t>urges</w:t>
      </w:r>
      <w:r w:rsidR="002B700C" w:rsidRPr="00C46090">
        <w:rPr>
          <w:rFonts w:asciiTheme="majorHAnsi" w:hAnsiTheme="majorHAnsi"/>
          <w:sz w:val="22"/>
          <w:szCs w:val="22"/>
        </w:rPr>
        <w:t xml:space="preserve"> the </w:t>
      </w:r>
      <w:r w:rsidR="004F1566" w:rsidRPr="00C46090">
        <w:rPr>
          <w:rFonts w:asciiTheme="majorHAnsi" w:hAnsiTheme="majorHAnsi"/>
          <w:sz w:val="22"/>
          <w:szCs w:val="22"/>
        </w:rPr>
        <w:t>C</w:t>
      </w:r>
      <w:r w:rsidR="002B700C" w:rsidRPr="00C46090">
        <w:rPr>
          <w:rFonts w:asciiTheme="majorHAnsi" w:hAnsiTheme="majorHAnsi"/>
          <w:sz w:val="22"/>
          <w:szCs w:val="22"/>
        </w:rPr>
        <w:t>ourt</w:t>
      </w:r>
      <w:r w:rsidR="00E764E9" w:rsidRPr="00C46090">
        <w:rPr>
          <w:rFonts w:asciiTheme="majorHAnsi" w:hAnsiTheme="majorHAnsi"/>
          <w:sz w:val="22"/>
          <w:szCs w:val="22"/>
        </w:rPr>
        <w:t xml:space="preserve"> to deny </w:t>
      </w:r>
      <w:r>
        <w:rPr>
          <w:rFonts w:asciiTheme="majorHAnsi" w:hAnsiTheme="majorHAnsi"/>
          <w:sz w:val="22"/>
          <w:szCs w:val="22"/>
        </w:rPr>
        <w:t>defendant Weinstein’s</w:t>
      </w:r>
      <w:r w:rsidR="00E764E9" w:rsidRPr="00C46090">
        <w:rPr>
          <w:rFonts w:asciiTheme="majorHAnsi" w:hAnsiTheme="majorHAnsi"/>
          <w:sz w:val="22"/>
          <w:szCs w:val="22"/>
        </w:rPr>
        <w:t xml:space="preserve"> motion to dismiss</w:t>
      </w:r>
      <w:r>
        <w:rPr>
          <w:rFonts w:asciiTheme="majorHAnsi" w:hAnsiTheme="majorHAnsi"/>
          <w:sz w:val="22"/>
          <w:szCs w:val="22"/>
        </w:rPr>
        <w:t xml:space="preserve"> Ms. Judd’s</w:t>
      </w:r>
      <w:r w:rsidR="00E764E9" w:rsidRPr="00C46090">
        <w:rPr>
          <w:rFonts w:asciiTheme="majorHAnsi" w:hAnsiTheme="majorHAnsi"/>
          <w:sz w:val="22"/>
          <w:szCs w:val="22"/>
        </w:rPr>
        <w:t xml:space="preserve"> cause of action</w:t>
      </w:r>
      <w:r>
        <w:rPr>
          <w:rFonts w:asciiTheme="majorHAnsi" w:hAnsiTheme="majorHAnsi"/>
          <w:sz w:val="22"/>
          <w:szCs w:val="22"/>
        </w:rPr>
        <w:t xml:space="preserve"> for</w:t>
      </w:r>
      <w:r w:rsidR="004F1566" w:rsidRPr="00C46090">
        <w:rPr>
          <w:rFonts w:asciiTheme="majorHAnsi" w:hAnsiTheme="majorHAnsi"/>
          <w:sz w:val="22"/>
          <w:szCs w:val="22"/>
        </w:rPr>
        <w:t xml:space="preserve"> sexual harassment in</w:t>
      </w:r>
      <w:r>
        <w:rPr>
          <w:rFonts w:asciiTheme="majorHAnsi" w:hAnsiTheme="majorHAnsi"/>
          <w:sz w:val="22"/>
          <w:szCs w:val="22"/>
        </w:rPr>
        <w:t xml:space="preserve"> a</w:t>
      </w:r>
      <w:r w:rsidR="004F1566" w:rsidRPr="00C46090">
        <w:rPr>
          <w:rFonts w:asciiTheme="majorHAnsi" w:hAnsiTheme="majorHAnsi"/>
          <w:sz w:val="22"/>
          <w:szCs w:val="22"/>
        </w:rPr>
        <w:t xml:space="preserve"> professional </w:t>
      </w:r>
      <w:r>
        <w:rPr>
          <w:rFonts w:asciiTheme="majorHAnsi" w:hAnsiTheme="majorHAnsi"/>
          <w:sz w:val="22"/>
          <w:szCs w:val="22"/>
        </w:rPr>
        <w:t>relationship (California Civil Code section 51.9)</w:t>
      </w:r>
      <w:r w:rsidR="00A82272" w:rsidRPr="00C46090">
        <w:rPr>
          <w:rFonts w:asciiTheme="majorHAnsi" w:hAnsiTheme="majorHAnsi"/>
          <w:sz w:val="22"/>
          <w:szCs w:val="22"/>
        </w:rPr>
        <w:t>.</w:t>
      </w:r>
      <w:r w:rsidR="004F1566" w:rsidRPr="00C46090">
        <w:rPr>
          <w:rFonts w:asciiTheme="majorHAnsi" w:hAnsiTheme="majorHAnsi"/>
          <w:sz w:val="22"/>
          <w:szCs w:val="22"/>
        </w:rPr>
        <w:t xml:space="preserve"> </w:t>
      </w:r>
      <w:r>
        <w:rPr>
          <w:rFonts w:asciiTheme="majorHAnsi" w:hAnsiTheme="majorHAnsi"/>
          <w:sz w:val="22"/>
          <w:szCs w:val="22"/>
        </w:rPr>
        <w:t xml:space="preserve">In the 90s, </w:t>
      </w:r>
      <w:r w:rsidR="004F1566" w:rsidRPr="00C46090">
        <w:rPr>
          <w:rFonts w:asciiTheme="majorHAnsi" w:hAnsiTheme="majorHAnsi"/>
          <w:sz w:val="22"/>
          <w:szCs w:val="22"/>
        </w:rPr>
        <w:t xml:space="preserve">Weinstein, a well-established movie producer, scheduled a “general business meeting” with </w:t>
      </w:r>
      <w:r>
        <w:rPr>
          <w:rFonts w:asciiTheme="majorHAnsi" w:hAnsiTheme="majorHAnsi"/>
          <w:sz w:val="22"/>
          <w:szCs w:val="22"/>
        </w:rPr>
        <w:t>Ms. Judd</w:t>
      </w:r>
      <w:r w:rsidR="004F1566" w:rsidRPr="00C46090">
        <w:rPr>
          <w:rFonts w:asciiTheme="majorHAnsi" w:hAnsiTheme="majorHAnsi"/>
          <w:sz w:val="22"/>
          <w:szCs w:val="22"/>
        </w:rPr>
        <w:t xml:space="preserve"> in his hotel room, where he made unwanted sexual advances</w:t>
      </w:r>
      <w:r>
        <w:rPr>
          <w:rFonts w:asciiTheme="majorHAnsi" w:hAnsiTheme="majorHAnsi"/>
          <w:sz w:val="22"/>
          <w:szCs w:val="22"/>
        </w:rPr>
        <w:t xml:space="preserve"> toward her</w:t>
      </w:r>
      <w:r w:rsidR="004F1566" w:rsidRPr="00C46090">
        <w:rPr>
          <w:rFonts w:asciiTheme="majorHAnsi" w:hAnsiTheme="majorHAnsi"/>
          <w:sz w:val="22"/>
          <w:szCs w:val="22"/>
        </w:rPr>
        <w:t xml:space="preserve"> and subsequently retaliated against </w:t>
      </w:r>
      <w:r>
        <w:rPr>
          <w:rFonts w:asciiTheme="majorHAnsi" w:hAnsiTheme="majorHAnsi"/>
          <w:sz w:val="22"/>
          <w:szCs w:val="22"/>
        </w:rPr>
        <w:t>her</w:t>
      </w:r>
      <w:r w:rsidR="004F1566" w:rsidRPr="00C46090">
        <w:rPr>
          <w:rFonts w:asciiTheme="majorHAnsi" w:hAnsiTheme="majorHAnsi"/>
          <w:sz w:val="22"/>
          <w:szCs w:val="22"/>
        </w:rPr>
        <w:t xml:space="preserve"> by damaging her professional reputation and opportunities. A</w:t>
      </w:r>
      <w:r w:rsidR="00A82272" w:rsidRPr="00C46090">
        <w:rPr>
          <w:rFonts w:asciiTheme="majorHAnsi" w:hAnsiTheme="majorHAnsi"/>
          <w:sz w:val="22"/>
          <w:szCs w:val="22"/>
        </w:rPr>
        <w:t>micus argue</w:t>
      </w:r>
      <w:r w:rsidR="004F1566" w:rsidRPr="00C46090">
        <w:rPr>
          <w:rFonts w:asciiTheme="majorHAnsi" w:hAnsiTheme="majorHAnsi"/>
          <w:sz w:val="22"/>
          <w:szCs w:val="22"/>
        </w:rPr>
        <w:t>s</w:t>
      </w:r>
      <w:r w:rsidR="00A82272" w:rsidRPr="00C46090">
        <w:rPr>
          <w:rFonts w:asciiTheme="majorHAnsi" w:hAnsiTheme="majorHAnsi"/>
          <w:sz w:val="22"/>
          <w:szCs w:val="22"/>
        </w:rPr>
        <w:t xml:space="preserve"> that </w:t>
      </w:r>
      <w:r>
        <w:rPr>
          <w:rFonts w:asciiTheme="majorHAnsi" w:hAnsiTheme="majorHAnsi"/>
          <w:sz w:val="22"/>
          <w:szCs w:val="22"/>
        </w:rPr>
        <w:t>Ms. Judd and Weinstein’s</w:t>
      </w:r>
      <w:r w:rsidR="00A82272" w:rsidRPr="00C46090">
        <w:rPr>
          <w:rFonts w:asciiTheme="majorHAnsi" w:hAnsiTheme="majorHAnsi"/>
          <w:sz w:val="22"/>
          <w:szCs w:val="22"/>
        </w:rPr>
        <w:t xml:space="preserve"> relationship is within the scope of</w:t>
      </w:r>
      <w:r w:rsidR="00E764E9" w:rsidRPr="00C46090">
        <w:rPr>
          <w:rFonts w:asciiTheme="majorHAnsi" w:hAnsiTheme="majorHAnsi"/>
          <w:sz w:val="22"/>
          <w:szCs w:val="22"/>
        </w:rPr>
        <w:t xml:space="preserve"> section 51.9</w:t>
      </w:r>
      <w:r w:rsidR="00FD52CC" w:rsidRPr="00C46090">
        <w:rPr>
          <w:rFonts w:asciiTheme="majorHAnsi" w:hAnsiTheme="majorHAnsi"/>
          <w:sz w:val="22"/>
          <w:szCs w:val="22"/>
        </w:rPr>
        <w:t>, which provides an express remedy for sexual harassment that involve</w:t>
      </w:r>
      <w:r w:rsidR="004F1566" w:rsidRPr="00C46090">
        <w:rPr>
          <w:rFonts w:asciiTheme="majorHAnsi" w:hAnsiTheme="majorHAnsi"/>
          <w:sz w:val="22"/>
          <w:szCs w:val="22"/>
        </w:rPr>
        <w:t>s</w:t>
      </w:r>
      <w:r w:rsidR="00FD52CC" w:rsidRPr="00C46090">
        <w:rPr>
          <w:rFonts w:asciiTheme="majorHAnsi" w:hAnsiTheme="majorHAnsi"/>
          <w:sz w:val="22"/>
          <w:szCs w:val="22"/>
        </w:rPr>
        <w:t xml:space="preserve"> a business, service, or professional relationship, </w:t>
      </w:r>
      <w:r w:rsidR="00A82272" w:rsidRPr="00C46090">
        <w:rPr>
          <w:rFonts w:asciiTheme="majorHAnsi" w:hAnsiTheme="majorHAnsi"/>
          <w:sz w:val="22"/>
          <w:szCs w:val="22"/>
        </w:rPr>
        <w:t>because the two had an ongoing professional relationship that was not easily terminated</w:t>
      </w:r>
      <w:r w:rsidR="00FD52CC" w:rsidRPr="00C46090">
        <w:rPr>
          <w:rFonts w:asciiTheme="majorHAnsi" w:hAnsiTheme="majorHAnsi"/>
          <w:sz w:val="22"/>
          <w:szCs w:val="22"/>
        </w:rPr>
        <w:t>.</w:t>
      </w:r>
      <w:r w:rsidR="00A22159" w:rsidRPr="00C46090">
        <w:rPr>
          <w:rFonts w:asciiTheme="majorHAnsi" w:hAnsiTheme="majorHAnsi"/>
          <w:sz w:val="22"/>
          <w:szCs w:val="22"/>
        </w:rPr>
        <w:t xml:space="preserve"> </w:t>
      </w:r>
      <w:r>
        <w:rPr>
          <w:rFonts w:asciiTheme="majorHAnsi" w:hAnsiTheme="majorHAnsi"/>
          <w:sz w:val="22"/>
          <w:szCs w:val="22"/>
        </w:rPr>
        <w:t>T</w:t>
      </w:r>
      <w:r w:rsidR="004F1566" w:rsidRPr="00C46090">
        <w:rPr>
          <w:rFonts w:asciiTheme="majorHAnsi" w:hAnsiTheme="majorHAnsi"/>
          <w:sz w:val="22"/>
          <w:szCs w:val="22"/>
        </w:rPr>
        <w:t>he brief emphasizes that</w:t>
      </w:r>
      <w:r w:rsidR="00A22159" w:rsidRPr="00C46090">
        <w:rPr>
          <w:rFonts w:asciiTheme="majorHAnsi" w:hAnsiTheme="majorHAnsi"/>
          <w:sz w:val="22"/>
          <w:szCs w:val="22"/>
        </w:rPr>
        <w:t xml:space="preserve"> </w:t>
      </w:r>
      <w:r w:rsidR="00B17C8C" w:rsidRPr="00C46090">
        <w:rPr>
          <w:rFonts w:asciiTheme="majorHAnsi" w:hAnsiTheme="majorHAnsi"/>
          <w:sz w:val="22"/>
          <w:szCs w:val="22"/>
        </w:rPr>
        <w:t xml:space="preserve">the </w:t>
      </w:r>
      <w:r>
        <w:rPr>
          <w:rFonts w:asciiTheme="majorHAnsi" w:hAnsiTheme="majorHAnsi"/>
          <w:sz w:val="22"/>
          <w:szCs w:val="22"/>
        </w:rPr>
        <w:t>legislative intent of</w:t>
      </w:r>
      <w:r w:rsidR="00B17C8C" w:rsidRPr="00C46090">
        <w:rPr>
          <w:rFonts w:asciiTheme="majorHAnsi" w:hAnsiTheme="majorHAnsi"/>
          <w:sz w:val="22"/>
          <w:szCs w:val="22"/>
        </w:rPr>
        <w:t xml:space="preserve"> </w:t>
      </w:r>
      <w:r w:rsidR="004F1566" w:rsidRPr="00C46090">
        <w:rPr>
          <w:rFonts w:asciiTheme="majorHAnsi" w:hAnsiTheme="majorHAnsi"/>
          <w:sz w:val="22"/>
          <w:szCs w:val="22"/>
        </w:rPr>
        <w:t>section 51.9 was to create</w:t>
      </w:r>
      <w:r w:rsidR="00343E94" w:rsidRPr="00C46090">
        <w:rPr>
          <w:rFonts w:asciiTheme="majorHAnsi" w:hAnsiTheme="majorHAnsi"/>
          <w:sz w:val="22"/>
          <w:szCs w:val="22"/>
        </w:rPr>
        <w:t xml:space="preserve"> a cause of action for </w:t>
      </w:r>
      <w:r w:rsidR="00C46090">
        <w:rPr>
          <w:rFonts w:asciiTheme="majorHAnsi" w:hAnsiTheme="majorHAnsi"/>
          <w:sz w:val="22"/>
          <w:szCs w:val="22"/>
        </w:rPr>
        <w:t xml:space="preserve">this type of </w:t>
      </w:r>
      <w:r w:rsidR="00343E94" w:rsidRPr="00C46090">
        <w:rPr>
          <w:rFonts w:asciiTheme="majorHAnsi" w:hAnsiTheme="majorHAnsi"/>
          <w:sz w:val="22"/>
          <w:szCs w:val="22"/>
        </w:rPr>
        <w:t>sexual</w:t>
      </w:r>
      <w:r w:rsidR="00C46090">
        <w:rPr>
          <w:rFonts w:asciiTheme="majorHAnsi" w:hAnsiTheme="majorHAnsi"/>
          <w:sz w:val="22"/>
          <w:szCs w:val="22"/>
        </w:rPr>
        <w:t xml:space="preserve"> harassment</w:t>
      </w:r>
      <w:r w:rsidR="00343E94" w:rsidRPr="00C46090">
        <w:rPr>
          <w:rFonts w:asciiTheme="majorHAnsi" w:hAnsiTheme="majorHAnsi"/>
          <w:sz w:val="22"/>
          <w:szCs w:val="22"/>
        </w:rPr>
        <w:t xml:space="preserve"> </w:t>
      </w:r>
      <w:r w:rsidR="00B17C8C" w:rsidRPr="00C46090">
        <w:rPr>
          <w:rFonts w:asciiTheme="majorHAnsi" w:hAnsiTheme="majorHAnsi"/>
          <w:sz w:val="22"/>
          <w:szCs w:val="22"/>
        </w:rPr>
        <w:t xml:space="preserve">and subsequent amendments suggest the statute </w:t>
      </w:r>
      <w:r>
        <w:rPr>
          <w:rFonts w:asciiTheme="majorHAnsi" w:hAnsiTheme="majorHAnsi"/>
          <w:sz w:val="22"/>
          <w:szCs w:val="22"/>
        </w:rPr>
        <w:t xml:space="preserve">clearly </w:t>
      </w:r>
      <w:r w:rsidR="00B17C8C" w:rsidRPr="00C46090">
        <w:rPr>
          <w:rFonts w:asciiTheme="majorHAnsi" w:hAnsiTheme="majorHAnsi"/>
          <w:sz w:val="22"/>
          <w:szCs w:val="22"/>
        </w:rPr>
        <w:t>applies to plaintiff’s sexual harassment claim here.</w:t>
      </w:r>
    </w:p>
    <w:p w14:paraId="4B6538D2" w14:textId="0541A4E3" w:rsidR="002B3367" w:rsidRDefault="002B3367" w:rsidP="00B17C8C">
      <w:pPr>
        <w:rPr>
          <w:rFonts w:asciiTheme="majorHAnsi" w:hAnsiTheme="majorHAnsi"/>
          <w:sz w:val="22"/>
          <w:szCs w:val="22"/>
        </w:rPr>
      </w:pPr>
    </w:p>
    <w:p w14:paraId="425F4EB7" w14:textId="5605D10E" w:rsidR="002B3367" w:rsidRPr="00C46090" w:rsidRDefault="002B3367" w:rsidP="00B17C8C">
      <w:pPr>
        <w:rPr>
          <w:rFonts w:asciiTheme="majorHAnsi" w:hAnsiTheme="majorHAnsi"/>
          <w:sz w:val="22"/>
          <w:szCs w:val="22"/>
        </w:rPr>
      </w:pPr>
      <w:r>
        <w:rPr>
          <w:rFonts w:asciiTheme="majorHAnsi" w:hAnsiTheme="majorHAnsi"/>
          <w:sz w:val="22"/>
          <w:szCs w:val="22"/>
        </w:rPr>
        <w:t>On January 9, 2019, the Court granted Weinstein’s motion to dismiss the section 51.9 claim. On April 2, 2019, the District</w:t>
      </w:r>
      <w:r w:rsidR="00AA6233">
        <w:rPr>
          <w:rFonts w:asciiTheme="majorHAnsi" w:hAnsiTheme="majorHAnsi"/>
          <w:sz w:val="22"/>
          <w:szCs w:val="22"/>
        </w:rPr>
        <w:t xml:space="preserve"> Court</w:t>
      </w:r>
      <w:r>
        <w:rPr>
          <w:rFonts w:asciiTheme="majorHAnsi" w:hAnsiTheme="majorHAnsi"/>
          <w:sz w:val="22"/>
          <w:szCs w:val="22"/>
        </w:rPr>
        <w:t xml:space="preserve"> granted a motion to stay the case pending the resolution of Weinstein’s criminal case in New York</w:t>
      </w:r>
      <w:r w:rsidR="00AA6233">
        <w:rPr>
          <w:rFonts w:asciiTheme="majorHAnsi" w:hAnsiTheme="majorHAnsi"/>
          <w:sz w:val="22"/>
          <w:szCs w:val="22"/>
        </w:rPr>
        <w:t xml:space="preserve"> state court</w:t>
      </w:r>
      <w:r>
        <w:rPr>
          <w:rFonts w:asciiTheme="majorHAnsi" w:hAnsiTheme="majorHAnsi"/>
          <w:sz w:val="22"/>
          <w:szCs w:val="22"/>
        </w:rPr>
        <w:t>. On May 2, 2019,</w:t>
      </w:r>
      <w:r w:rsidR="00AA6233">
        <w:rPr>
          <w:rFonts w:asciiTheme="majorHAnsi" w:hAnsiTheme="majorHAnsi"/>
          <w:sz w:val="22"/>
          <w:szCs w:val="22"/>
        </w:rPr>
        <w:t xml:space="preserve"> Ms.</w:t>
      </w:r>
      <w:r>
        <w:rPr>
          <w:rFonts w:asciiTheme="majorHAnsi" w:hAnsiTheme="majorHAnsi"/>
          <w:sz w:val="22"/>
          <w:szCs w:val="22"/>
        </w:rPr>
        <w:t xml:space="preserve"> Judd appealed the final judgment dismissing the sexual harassment claim to the Ninth Circuit. </w:t>
      </w:r>
      <w:r w:rsidR="00AA6233">
        <w:rPr>
          <w:rFonts w:asciiTheme="majorHAnsi" w:hAnsiTheme="majorHAnsi"/>
          <w:sz w:val="22"/>
          <w:szCs w:val="22"/>
        </w:rPr>
        <w:t xml:space="preserve">Ms. </w:t>
      </w:r>
      <w:r>
        <w:rPr>
          <w:rFonts w:asciiTheme="majorHAnsi" w:hAnsiTheme="majorHAnsi"/>
          <w:sz w:val="22"/>
          <w:szCs w:val="22"/>
        </w:rPr>
        <w:t xml:space="preserve">Judd filed her opening brief with the Ninth Circuit on November 29, 2019. </w:t>
      </w:r>
    </w:p>
    <w:p w14:paraId="64692A83" w14:textId="77777777" w:rsidR="002B700C" w:rsidRPr="00C46090" w:rsidRDefault="002B700C" w:rsidP="002B700C">
      <w:pPr>
        <w:rPr>
          <w:rFonts w:asciiTheme="majorHAnsi" w:hAnsiTheme="majorHAnsi"/>
          <w:b/>
          <w:sz w:val="22"/>
          <w:szCs w:val="22"/>
        </w:rPr>
      </w:pPr>
    </w:p>
    <w:p w14:paraId="1DF722D0" w14:textId="4BA5DF80" w:rsidR="00274243" w:rsidRPr="00C46090" w:rsidRDefault="00274243" w:rsidP="00274243">
      <w:pPr>
        <w:pStyle w:val="ListParagraph"/>
        <w:numPr>
          <w:ilvl w:val="0"/>
          <w:numId w:val="1"/>
        </w:numPr>
        <w:rPr>
          <w:rFonts w:asciiTheme="majorHAnsi" w:hAnsiTheme="majorHAnsi"/>
          <w:b/>
          <w:sz w:val="22"/>
          <w:szCs w:val="22"/>
        </w:rPr>
      </w:pPr>
      <w:r w:rsidRPr="00C46090">
        <w:rPr>
          <w:rFonts w:asciiTheme="majorHAnsi" w:hAnsiTheme="majorHAnsi"/>
          <w:b/>
          <w:i/>
          <w:sz w:val="22"/>
          <w:szCs w:val="22"/>
          <w:u w:val="single"/>
        </w:rPr>
        <w:t>In re Marriage of Davila and Mejia</w:t>
      </w:r>
      <w:r w:rsidRPr="00C46090">
        <w:rPr>
          <w:rFonts w:asciiTheme="majorHAnsi" w:hAnsiTheme="majorHAnsi"/>
          <w:b/>
          <w:sz w:val="22"/>
          <w:szCs w:val="22"/>
        </w:rPr>
        <w:t xml:space="preserve"> (</w:t>
      </w:r>
      <w:r w:rsidR="006F361C" w:rsidRPr="00C46090">
        <w:rPr>
          <w:rFonts w:asciiTheme="majorHAnsi" w:hAnsiTheme="majorHAnsi"/>
          <w:b/>
          <w:sz w:val="22"/>
          <w:szCs w:val="22"/>
        </w:rPr>
        <w:t>C</w:t>
      </w:r>
      <w:r w:rsidR="00AA6233">
        <w:rPr>
          <w:rFonts w:asciiTheme="majorHAnsi" w:hAnsiTheme="majorHAnsi"/>
          <w:b/>
          <w:sz w:val="22"/>
          <w:szCs w:val="22"/>
        </w:rPr>
        <w:t>alifornia</w:t>
      </w:r>
      <w:r w:rsidR="006F361C" w:rsidRPr="00C46090">
        <w:rPr>
          <w:rFonts w:asciiTheme="majorHAnsi" w:hAnsiTheme="majorHAnsi"/>
          <w:b/>
          <w:sz w:val="22"/>
          <w:szCs w:val="22"/>
        </w:rPr>
        <w:t xml:space="preserve"> Supreme Court</w:t>
      </w:r>
      <w:r w:rsidRPr="00C46090">
        <w:rPr>
          <w:rFonts w:asciiTheme="majorHAnsi" w:hAnsiTheme="majorHAnsi"/>
          <w:b/>
          <w:sz w:val="22"/>
          <w:szCs w:val="22"/>
        </w:rPr>
        <w:t xml:space="preserve">), </w:t>
      </w:r>
      <w:r w:rsidR="003E264D" w:rsidRPr="00C46090">
        <w:rPr>
          <w:rFonts w:asciiTheme="majorHAnsi" w:hAnsiTheme="majorHAnsi"/>
          <w:b/>
          <w:sz w:val="22"/>
          <w:szCs w:val="22"/>
        </w:rPr>
        <w:t xml:space="preserve">filed </w:t>
      </w:r>
      <w:r w:rsidR="004F1566" w:rsidRPr="00C46090">
        <w:rPr>
          <w:rFonts w:asciiTheme="majorHAnsi" w:hAnsiTheme="majorHAnsi"/>
          <w:b/>
          <w:sz w:val="22"/>
          <w:szCs w:val="22"/>
        </w:rPr>
        <w:t>1/15/19</w:t>
      </w:r>
    </w:p>
    <w:p w14:paraId="2CFF3AD7" w14:textId="77777777" w:rsidR="00274243" w:rsidRPr="00C46090" w:rsidRDefault="00F14DD5" w:rsidP="00DB2555">
      <w:pPr>
        <w:rPr>
          <w:rFonts w:asciiTheme="majorHAnsi" w:hAnsiTheme="majorHAnsi"/>
          <w:b/>
          <w:sz w:val="22"/>
          <w:szCs w:val="22"/>
        </w:rPr>
      </w:pPr>
      <w:r w:rsidRPr="00C46090">
        <w:rPr>
          <w:rFonts w:asciiTheme="majorHAnsi" w:hAnsiTheme="majorHAnsi"/>
          <w:b/>
          <w:i/>
          <w:sz w:val="22"/>
          <w:szCs w:val="22"/>
        </w:rPr>
        <w:t>Domestic</w:t>
      </w:r>
      <w:r w:rsidRPr="00C46090">
        <w:rPr>
          <w:rFonts w:asciiTheme="majorHAnsi" w:hAnsiTheme="majorHAnsi"/>
          <w:b/>
          <w:sz w:val="22"/>
          <w:szCs w:val="22"/>
        </w:rPr>
        <w:t xml:space="preserve"> </w:t>
      </w:r>
      <w:r w:rsidRPr="00C46090">
        <w:rPr>
          <w:rFonts w:asciiTheme="majorHAnsi" w:hAnsiTheme="majorHAnsi"/>
          <w:b/>
          <w:i/>
          <w:sz w:val="22"/>
          <w:szCs w:val="22"/>
        </w:rPr>
        <w:t>Violence</w:t>
      </w:r>
    </w:p>
    <w:p w14:paraId="56810333" w14:textId="77777777" w:rsidR="00F14DD5" w:rsidRPr="00C46090" w:rsidRDefault="00274243" w:rsidP="006F361C">
      <w:pPr>
        <w:rPr>
          <w:rFonts w:asciiTheme="majorHAnsi" w:hAnsiTheme="majorHAnsi"/>
          <w:b/>
          <w:sz w:val="22"/>
          <w:szCs w:val="22"/>
        </w:rPr>
      </w:pPr>
      <w:r w:rsidRPr="00C46090">
        <w:rPr>
          <w:rFonts w:asciiTheme="majorHAnsi" w:hAnsiTheme="majorHAnsi"/>
          <w:b/>
          <w:sz w:val="22"/>
          <w:szCs w:val="22"/>
        </w:rPr>
        <w:t>Author</w:t>
      </w:r>
      <w:r w:rsidR="009039FD" w:rsidRPr="00C46090">
        <w:rPr>
          <w:rFonts w:asciiTheme="majorHAnsi" w:hAnsiTheme="majorHAnsi"/>
          <w:b/>
          <w:sz w:val="22"/>
          <w:szCs w:val="22"/>
        </w:rPr>
        <w:t>: Family Violence Appellate Project</w:t>
      </w:r>
    </w:p>
    <w:p w14:paraId="2E64A51A" w14:textId="77777777" w:rsidR="009039FD" w:rsidRPr="00C46090" w:rsidRDefault="009039FD" w:rsidP="00274243">
      <w:pPr>
        <w:ind w:left="360"/>
        <w:rPr>
          <w:rFonts w:asciiTheme="majorHAnsi" w:hAnsiTheme="majorHAnsi"/>
          <w:sz w:val="22"/>
          <w:szCs w:val="22"/>
        </w:rPr>
      </w:pPr>
    </w:p>
    <w:p w14:paraId="2A81F55A" w14:textId="25DB92AA" w:rsidR="005D36F6" w:rsidRDefault="00FB2F51" w:rsidP="00FB2F51">
      <w:pPr>
        <w:rPr>
          <w:rFonts w:asciiTheme="majorHAnsi" w:hAnsiTheme="majorHAnsi"/>
          <w:sz w:val="22"/>
          <w:szCs w:val="22"/>
        </w:rPr>
      </w:pPr>
      <w:r w:rsidRPr="00C46090">
        <w:rPr>
          <w:rFonts w:asciiTheme="majorHAnsi" w:hAnsiTheme="majorHAnsi"/>
          <w:sz w:val="22"/>
          <w:szCs w:val="22"/>
        </w:rPr>
        <w:t xml:space="preserve">The </w:t>
      </w:r>
      <w:r w:rsidR="004F1566" w:rsidRPr="00C46090">
        <w:rPr>
          <w:rFonts w:asciiTheme="majorHAnsi" w:hAnsiTheme="majorHAnsi"/>
          <w:sz w:val="22"/>
          <w:szCs w:val="22"/>
        </w:rPr>
        <w:t>amicus letter</w:t>
      </w:r>
      <w:r w:rsidRPr="00C46090">
        <w:rPr>
          <w:rFonts w:asciiTheme="majorHAnsi" w:hAnsiTheme="majorHAnsi"/>
          <w:sz w:val="22"/>
          <w:szCs w:val="22"/>
        </w:rPr>
        <w:t xml:space="preserve"> asks the court to decline the request to de</w:t>
      </w:r>
      <w:r w:rsidR="002B3367">
        <w:rPr>
          <w:rFonts w:asciiTheme="majorHAnsi" w:hAnsiTheme="majorHAnsi"/>
          <w:sz w:val="22"/>
          <w:szCs w:val="22"/>
        </w:rPr>
        <w:t>-</w:t>
      </w:r>
      <w:r w:rsidRPr="00C46090">
        <w:rPr>
          <w:rFonts w:asciiTheme="majorHAnsi" w:hAnsiTheme="majorHAnsi"/>
          <w:sz w:val="22"/>
          <w:szCs w:val="22"/>
        </w:rPr>
        <w:t xml:space="preserve">publish </w:t>
      </w:r>
      <w:r w:rsidRPr="00C46090">
        <w:rPr>
          <w:rFonts w:asciiTheme="majorHAnsi" w:hAnsiTheme="majorHAnsi"/>
          <w:i/>
          <w:sz w:val="22"/>
          <w:szCs w:val="22"/>
        </w:rPr>
        <w:t>In re Marriage of Davila and Mejia</w:t>
      </w:r>
      <w:r w:rsidRPr="00C46090">
        <w:rPr>
          <w:rFonts w:asciiTheme="majorHAnsi" w:hAnsiTheme="majorHAnsi"/>
          <w:sz w:val="22"/>
          <w:szCs w:val="22"/>
        </w:rPr>
        <w:t xml:space="preserve">, where the </w:t>
      </w:r>
      <w:r w:rsidR="00C46090">
        <w:rPr>
          <w:rFonts w:asciiTheme="majorHAnsi" w:hAnsiTheme="majorHAnsi"/>
          <w:sz w:val="22"/>
          <w:szCs w:val="22"/>
        </w:rPr>
        <w:t xml:space="preserve">California </w:t>
      </w:r>
      <w:r w:rsidRPr="00C46090">
        <w:rPr>
          <w:rFonts w:asciiTheme="majorHAnsi" w:hAnsiTheme="majorHAnsi"/>
          <w:sz w:val="22"/>
          <w:szCs w:val="22"/>
        </w:rPr>
        <w:t>Court of Appeal held that the Domestic Violence Prevention Act (DVPA)</w:t>
      </w:r>
      <w:r w:rsidR="0050775A" w:rsidRPr="00C46090">
        <w:rPr>
          <w:rFonts w:asciiTheme="majorHAnsi" w:hAnsiTheme="majorHAnsi"/>
          <w:sz w:val="22"/>
          <w:szCs w:val="22"/>
        </w:rPr>
        <w:t xml:space="preserve"> does not require survivors of domestic abuse to describe all actions taken by the alleged abuser in the DVRO restraining order request in order to later testify about those acts at the hearing, </w:t>
      </w:r>
      <w:r w:rsidR="004F1566" w:rsidRPr="00C46090">
        <w:rPr>
          <w:rFonts w:asciiTheme="majorHAnsi" w:hAnsiTheme="majorHAnsi"/>
          <w:sz w:val="22"/>
          <w:szCs w:val="22"/>
        </w:rPr>
        <w:t>as long</w:t>
      </w:r>
      <w:r w:rsidR="0050775A" w:rsidRPr="00C46090">
        <w:rPr>
          <w:rFonts w:asciiTheme="majorHAnsi" w:hAnsiTheme="majorHAnsi"/>
          <w:sz w:val="22"/>
          <w:szCs w:val="22"/>
        </w:rPr>
        <w:t xml:space="preserve"> as the alleged abuser is notified of the general allegations. </w:t>
      </w:r>
      <w:r w:rsidR="004F1566" w:rsidRPr="00C46090">
        <w:rPr>
          <w:rFonts w:asciiTheme="majorHAnsi" w:hAnsiTheme="majorHAnsi"/>
          <w:sz w:val="22"/>
          <w:szCs w:val="22"/>
        </w:rPr>
        <w:t>Amici</w:t>
      </w:r>
      <w:r w:rsidR="0050775A" w:rsidRPr="00C46090">
        <w:rPr>
          <w:rFonts w:asciiTheme="majorHAnsi" w:hAnsiTheme="majorHAnsi"/>
          <w:sz w:val="22"/>
          <w:szCs w:val="22"/>
        </w:rPr>
        <w:t xml:space="preserve"> emphasize the importance of publication to the safety and well-being of domestic violence survivors in California, particularly because </w:t>
      </w:r>
      <w:r w:rsidR="0050775A" w:rsidRPr="00C46090">
        <w:rPr>
          <w:rFonts w:asciiTheme="majorHAnsi" w:hAnsiTheme="majorHAnsi"/>
          <w:i/>
          <w:sz w:val="22"/>
          <w:szCs w:val="22"/>
        </w:rPr>
        <w:t>Davila</w:t>
      </w:r>
      <w:r w:rsidR="00506A0B" w:rsidRPr="00C46090">
        <w:rPr>
          <w:rFonts w:asciiTheme="majorHAnsi" w:hAnsiTheme="majorHAnsi"/>
          <w:i/>
          <w:sz w:val="22"/>
          <w:szCs w:val="22"/>
        </w:rPr>
        <w:t xml:space="preserve"> </w:t>
      </w:r>
      <w:r w:rsidR="0050775A" w:rsidRPr="00C46090">
        <w:rPr>
          <w:rFonts w:asciiTheme="majorHAnsi" w:hAnsiTheme="majorHAnsi"/>
          <w:sz w:val="22"/>
          <w:szCs w:val="22"/>
        </w:rPr>
        <w:t>resolves an issue of first impression</w:t>
      </w:r>
      <w:r w:rsidR="004F1566" w:rsidRPr="00C46090">
        <w:rPr>
          <w:rFonts w:asciiTheme="majorHAnsi" w:hAnsiTheme="majorHAnsi"/>
          <w:sz w:val="22"/>
          <w:szCs w:val="22"/>
        </w:rPr>
        <w:t xml:space="preserve">, and </w:t>
      </w:r>
      <w:r w:rsidR="0050775A" w:rsidRPr="00C46090">
        <w:rPr>
          <w:rFonts w:asciiTheme="majorHAnsi" w:hAnsiTheme="majorHAnsi"/>
          <w:sz w:val="22"/>
          <w:szCs w:val="22"/>
        </w:rPr>
        <w:t xml:space="preserve">argue that the </w:t>
      </w:r>
      <w:r w:rsidR="005D36F6" w:rsidRPr="00C46090">
        <w:rPr>
          <w:rFonts w:asciiTheme="majorHAnsi" w:hAnsiTheme="majorHAnsi"/>
          <w:sz w:val="22"/>
          <w:szCs w:val="22"/>
        </w:rPr>
        <w:t>decision should remain</w:t>
      </w:r>
      <w:r w:rsidR="0050775A" w:rsidRPr="00C46090">
        <w:rPr>
          <w:rFonts w:asciiTheme="majorHAnsi" w:hAnsiTheme="majorHAnsi"/>
          <w:sz w:val="22"/>
          <w:szCs w:val="22"/>
        </w:rPr>
        <w:t xml:space="preserve"> published </w:t>
      </w:r>
      <w:r w:rsidR="005D36F6" w:rsidRPr="00C46090">
        <w:rPr>
          <w:rFonts w:asciiTheme="majorHAnsi" w:hAnsiTheme="majorHAnsi"/>
          <w:sz w:val="22"/>
          <w:szCs w:val="22"/>
        </w:rPr>
        <w:t xml:space="preserve">for three reasons. First, </w:t>
      </w:r>
      <w:r w:rsidR="0050775A" w:rsidRPr="00C46090">
        <w:rPr>
          <w:rFonts w:asciiTheme="majorHAnsi" w:hAnsiTheme="majorHAnsi"/>
          <w:sz w:val="22"/>
          <w:szCs w:val="22"/>
        </w:rPr>
        <w:t xml:space="preserve">the opinion correctly applies </w:t>
      </w:r>
      <w:r w:rsidR="00506A0B" w:rsidRPr="00C46090">
        <w:rPr>
          <w:rFonts w:asciiTheme="majorHAnsi" w:hAnsiTheme="majorHAnsi"/>
          <w:sz w:val="22"/>
          <w:szCs w:val="22"/>
        </w:rPr>
        <w:t>DVPA notice provisions</w:t>
      </w:r>
      <w:r w:rsidR="005D36F6" w:rsidRPr="00C46090">
        <w:rPr>
          <w:rFonts w:asciiTheme="majorHAnsi" w:hAnsiTheme="majorHAnsi"/>
          <w:sz w:val="22"/>
          <w:szCs w:val="22"/>
        </w:rPr>
        <w:t xml:space="preserve"> and </w:t>
      </w:r>
      <w:r w:rsidR="004F1566" w:rsidRPr="00C46090">
        <w:rPr>
          <w:rFonts w:asciiTheme="majorHAnsi" w:hAnsiTheme="majorHAnsi"/>
          <w:sz w:val="22"/>
          <w:szCs w:val="22"/>
        </w:rPr>
        <w:t>notifying the defendant of general allegations provides him with a meaningful opportunity to be heard</w:t>
      </w:r>
      <w:r w:rsidR="005D36F6" w:rsidRPr="00C46090">
        <w:rPr>
          <w:rFonts w:asciiTheme="majorHAnsi" w:hAnsiTheme="majorHAnsi"/>
          <w:sz w:val="22"/>
          <w:szCs w:val="22"/>
        </w:rPr>
        <w:t xml:space="preserve">. Second, </w:t>
      </w:r>
      <w:r w:rsidR="00506A0B" w:rsidRPr="00C46090">
        <w:rPr>
          <w:rFonts w:asciiTheme="majorHAnsi" w:hAnsiTheme="majorHAnsi"/>
          <w:i/>
          <w:sz w:val="22"/>
          <w:szCs w:val="22"/>
        </w:rPr>
        <w:t xml:space="preserve">Davila </w:t>
      </w:r>
      <w:r w:rsidR="00506A0B" w:rsidRPr="00C46090">
        <w:rPr>
          <w:rFonts w:asciiTheme="majorHAnsi" w:hAnsiTheme="majorHAnsi"/>
          <w:sz w:val="22"/>
          <w:szCs w:val="22"/>
        </w:rPr>
        <w:t xml:space="preserve">is the first </w:t>
      </w:r>
      <w:r w:rsidR="005D36F6" w:rsidRPr="00C46090">
        <w:rPr>
          <w:rFonts w:asciiTheme="majorHAnsi" w:hAnsiTheme="majorHAnsi"/>
          <w:sz w:val="22"/>
          <w:szCs w:val="22"/>
        </w:rPr>
        <w:t>case to describe the pr</w:t>
      </w:r>
      <w:r w:rsidR="00506A0B" w:rsidRPr="00C46090">
        <w:rPr>
          <w:rFonts w:asciiTheme="majorHAnsi" w:hAnsiTheme="majorHAnsi"/>
          <w:sz w:val="22"/>
          <w:szCs w:val="22"/>
        </w:rPr>
        <w:t xml:space="preserve">ocess trial courts should use when a respondent objects to testimony, and, without it as precedent, </w:t>
      </w:r>
      <w:r w:rsidR="004F1566" w:rsidRPr="00C46090">
        <w:rPr>
          <w:rFonts w:asciiTheme="majorHAnsi" w:hAnsiTheme="majorHAnsi"/>
          <w:sz w:val="22"/>
          <w:szCs w:val="22"/>
        </w:rPr>
        <w:t xml:space="preserve">the brief argues that </w:t>
      </w:r>
      <w:r w:rsidR="00506A0B" w:rsidRPr="00C46090">
        <w:rPr>
          <w:rFonts w:asciiTheme="majorHAnsi" w:hAnsiTheme="majorHAnsi"/>
          <w:sz w:val="22"/>
          <w:szCs w:val="22"/>
        </w:rPr>
        <w:t>trial courts could deny</w:t>
      </w:r>
      <w:r w:rsidR="004F1566" w:rsidRPr="00C46090">
        <w:rPr>
          <w:rFonts w:asciiTheme="majorHAnsi" w:hAnsiTheme="majorHAnsi"/>
          <w:sz w:val="22"/>
          <w:szCs w:val="22"/>
        </w:rPr>
        <w:t xml:space="preserve"> meritorious</w:t>
      </w:r>
      <w:r w:rsidR="00506A0B" w:rsidRPr="00C46090">
        <w:rPr>
          <w:rFonts w:asciiTheme="majorHAnsi" w:hAnsiTheme="majorHAnsi"/>
          <w:sz w:val="22"/>
          <w:szCs w:val="22"/>
        </w:rPr>
        <w:t xml:space="preserve"> restraining orders when survivors provide general allegation</w:t>
      </w:r>
      <w:r w:rsidR="00804C8B">
        <w:rPr>
          <w:rFonts w:asciiTheme="majorHAnsi" w:hAnsiTheme="majorHAnsi"/>
          <w:sz w:val="22"/>
          <w:szCs w:val="22"/>
        </w:rPr>
        <w:t>s</w:t>
      </w:r>
      <w:r w:rsidR="00506A0B" w:rsidRPr="00C46090">
        <w:rPr>
          <w:rFonts w:asciiTheme="majorHAnsi" w:hAnsiTheme="majorHAnsi"/>
          <w:sz w:val="22"/>
          <w:szCs w:val="22"/>
        </w:rPr>
        <w:t xml:space="preserve">, rather than each specific incident of abuse, in their petitions. Third, </w:t>
      </w:r>
      <w:r w:rsidR="00DF52F4" w:rsidRPr="00C46090">
        <w:rPr>
          <w:rFonts w:asciiTheme="majorHAnsi" w:hAnsiTheme="majorHAnsi"/>
          <w:i/>
          <w:sz w:val="22"/>
          <w:szCs w:val="22"/>
        </w:rPr>
        <w:t xml:space="preserve">Davila </w:t>
      </w:r>
      <w:r w:rsidR="00DF52F4" w:rsidRPr="00C46090">
        <w:rPr>
          <w:rFonts w:asciiTheme="majorHAnsi" w:hAnsiTheme="majorHAnsi"/>
          <w:sz w:val="22"/>
          <w:szCs w:val="22"/>
        </w:rPr>
        <w:t>is consistent with case precedent</w:t>
      </w:r>
      <w:r w:rsidR="00E035D9" w:rsidRPr="00C46090">
        <w:rPr>
          <w:rFonts w:asciiTheme="majorHAnsi" w:hAnsiTheme="majorHAnsi"/>
          <w:sz w:val="22"/>
          <w:szCs w:val="22"/>
        </w:rPr>
        <w:t xml:space="preserve"> that litigants are not required to provide every detail to support their claim in writing prior to trial.</w:t>
      </w:r>
    </w:p>
    <w:p w14:paraId="2BE12CF0" w14:textId="7885CAC7" w:rsidR="002B3367" w:rsidRDefault="002B3367" w:rsidP="00FB2F51">
      <w:pPr>
        <w:rPr>
          <w:rFonts w:asciiTheme="majorHAnsi" w:hAnsiTheme="majorHAnsi"/>
          <w:sz w:val="22"/>
          <w:szCs w:val="22"/>
        </w:rPr>
      </w:pPr>
    </w:p>
    <w:p w14:paraId="3FC11B18" w14:textId="2B7A23A7" w:rsidR="002B3367" w:rsidRPr="00C46090" w:rsidRDefault="002B3367" w:rsidP="00FB2F51">
      <w:pPr>
        <w:rPr>
          <w:rFonts w:asciiTheme="majorHAnsi" w:hAnsiTheme="majorHAnsi"/>
          <w:sz w:val="22"/>
          <w:szCs w:val="22"/>
        </w:rPr>
      </w:pPr>
      <w:r>
        <w:rPr>
          <w:rFonts w:asciiTheme="majorHAnsi" w:hAnsiTheme="majorHAnsi"/>
          <w:sz w:val="22"/>
          <w:szCs w:val="22"/>
        </w:rPr>
        <w:t xml:space="preserve">On February 1, 2019, the court declined the request to de-publish. </w:t>
      </w:r>
    </w:p>
    <w:p w14:paraId="623524B3" w14:textId="77777777" w:rsidR="00FB2F51" w:rsidRPr="00C46090" w:rsidRDefault="00FB2F51" w:rsidP="00E035D9">
      <w:pPr>
        <w:rPr>
          <w:rFonts w:asciiTheme="majorHAnsi" w:hAnsiTheme="majorHAnsi"/>
          <w:sz w:val="22"/>
          <w:szCs w:val="22"/>
        </w:rPr>
      </w:pPr>
    </w:p>
    <w:p w14:paraId="661EADA9" w14:textId="727E3DC4" w:rsidR="00F14DD5" w:rsidRPr="00C46090" w:rsidRDefault="00F14DD5" w:rsidP="009039FD">
      <w:pPr>
        <w:pStyle w:val="ListParagraph"/>
        <w:numPr>
          <w:ilvl w:val="0"/>
          <w:numId w:val="1"/>
        </w:numPr>
        <w:rPr>
          <w:rFonts w:asciiTheme="majorHAnsi" w:hAnsiTheme="majorHAnsi"/>
          <w:b/>
          <w:sz w:val="22"/>
          <w:szCs w:val="22"/>
        </w:rPr>
      </w:pPr>
      <w:r w:rsidRPr="00C46090">
        <w:rPr>
          <w:rFonts w:asciiTheme="majorHAnsi" w:hAnsiTheme="majorHAnsi"/>
          <w:b/>
          <w:i/>
          <w:sz w:val="22"/>
          <w:szCs w:val="22"/>
          <w:u w:val="single"/>
        </w:rPr>
        <w:t>S.Y. v. Superior Court</w:t>
      </w:r>
      <w:r w:rsidRPr="00C46090">
        <w:rPr>
          <w:rFonts w:asciiTheme="majorHAnsi" w:hAnsiTheme="majorHAnsi"/>
          <w:b/>
          <w:sz w:val="22"/>
          <w:szCs w:val="22"/>
        </w:rPr>
        <w:t xml:space="preserve"> (</w:t>
      </w:r>
      <w:r w:rsidR="006F361C" w:rsidRPr="00C46090">
        <w:rPr>
          <w:rFonts w:asciiTheme="majorHAnsi" w:hAnsiTheme="majorHAnsi"/>
          <w:b/>
          <w:sz w:val="22"/>
          <w:szCs w:val="22"/>
        </w:rPr>
        <w:t>C</w:t>
      </w:r>
      <w:r w:rsidR="00AA6233">
        <w:rPr>
          <w:rFonts w:asciiTheme="majorHAnsi" w:hAnsiTheme="majorHAnsi"/>
          <w:b/>
          <w:sz w:val="22"/>
          <w:szCs w:val="22"/>
        </w:rPr>
        <w:t>alifornia</w:t>
      </w:r>
      <w:r w:rsidR="006F361C" w:rsidRPr="00C46090">
        <w:rPr>
          <w:rFonts w:asciiTheme="majorHAnsi" w:hAnsiTheme="majorHAnsi"/>
          <w:b/>
          <w:sz w:val="22"/>
          <w:szCs w:val="22"/>
        </w:rPr>
        <w:t xml:space="preserve"> Supreme Court</w:t>
      </w:r>
      <w:r w:rsidRPr="00C46090">
        <w:rPr>
          <w:rFonts w:asciiTheme="majorHAnsi" w:hAnsiTheme="majorHAnsi"/>
          <w:b/>
          <w:sz w:val="22"/>
          <w:szCs w:val="22"/>
        </w:rPr>
        <w:t xml:space="preserve">), filed </w:t>
      </w:r>
      <w:r w:rsidR="003E264D" w:rsidRPr="00C46090">
        <w:rPr>
          <w:rFonts w:asciiTheme="majorHAnsi" w:hAnsiTheme="majorHAnsi"/>
          <w:b/>
          <w:sz w:val="22"/>
          <w:szCs w:val="22"/>
        </w:rPr>
        <w:t>1/15/19</w:t>
      </w:r>
    </w:p>
    <w:p w14:paraId="41F916B8" w14:textId="77777777" w:rsidR="009039FD" w:rsidRPr="00C46090" w:rsidRDefault="009039FD" w:rsidP="00DB2555">
      <w:pPr>
        <w:rPr>
          <w:rFonts w:asciiTheme="majorHAnsi" w:hAnsiTheme="majorHAnsi"/>
          <w:b/>
          <w:i/>
          <w:sz w:val="22"/>
          <w:szCs w:val="22"/>
        </w:rPr>
      </w:pPr>
      <w:r w:rsidRPr="00C46090">
        <w:rPr>
          <w:rFonts w:asciiTheme="majorHAnsi" w:hAnsiTheme="majorHAnsi"/>
          <w:b/>
          <w:i/>
          <w:sz w:val="22"/>
          <w:szCs w:val="22"/>
        </w:rPr>
        <w:lastRenderedPageBreak/>
        <w:t>Domestic Violence</w:t>
      </w:r>
    </w:p>
    <w:p w14:paraId="0BE96105" w14:textId="5E5B8CB2" w:rsidR="006F361C" w:rsidRPr="00C46090" w:rsidRDefault="006F361C" w:rsidP="00DB2555">
      <w:pPr>
        <w:rPr>
          <w:rFonts w:asciiTheme="majorHAnsi" w:hAnsiTheme="majorHAnsi"/>
          <w:b/>
          <w:sz w:val="22"/>
          <w:szCs w:val="22"/>
        </w:rPr>
      </w:pPr>
      <w:r w:rsidRPr="00C46090">
        <w:rPr>
          <w:rFonts w:asciiTheme="majorHAnsi" w:hAnsiTheme="majorHAnsi"/>
          <w:b/>
          <w:sz w:val="22"/>
          <w:szCs w:val="22"/>
        </w:rPr>
        <w:t>Author: C</w:t>
      </w:r>
      <w:r w:rsidR="00AA6233">
        <w:rPr>
          <w:rFonts w:asciiTheme="majorHAnsi" w:hAnsiTheme="majorHAnsi"/>
          <w:b/>
          <w:sz w:val="22"/>
          <w:szCs w:val="22"/>
        </w:rPr>
        <w:t>alifornia Women’s Law Center</w:t>
      </w:r>
    </w:p>
    <w:p w14:paraId="7F614B1F" w14:textId="77777777" w:rsidR="00DF52F4" w:rsidRPr="00C46090" w:rsidRDefault="00DF52F4" w:rsidP="00DB2555">
      <w:pPr>
        <w:rPr>
          <w:rFonts w:asciiTheme="majorHAnsi" w:hAnsiTheme="majorHAnsi"/>
          <w:sz w:val="22"/>
          <w:szCs w:val="22"/>
        </w:rPr>
      </w:pPr>
    </w:p>
    <w:p w14:paraId="6FB96A92" w14:textId="48D8DCC4" w:rsidR="006C3028" w:rsidRPr="00C46090" w:rsidRDefault="0032268B" w:rsidP="00173B69">
      <w:pPr>
        <w:rPr>
          <w:rFonts w:asciiTheme="majorHAnsi" w:hAnsiTheme="majorHAnsi"/>
          <w:sz w:val="22"/>
          <w:szCs w:val="22"/>
        </w:rPr>
      </w:pPr>
      <w:r w:rsidRPr="00C46090">
        <w:rPr>
          <w:rFonts w:asciiTheme="majorHAnsi" w:hAnsiTheme="majorHAnsi"/>
          <w:sz w:val="22"/>
          <w:szCs w:val="22"/>
        </w:rPr>
        <w:t>The</w:t>
      </w:r>
      <w:r w:rsidR="001F6BC7" w:rsidRPr="00C46090">
        <w:rPr>
          <w:rFonts w:asciiTheme="majorHAnsi" w:hAnsiTheme="majorHAnsi"/>
          <w:sz w:val="22"/>
          <w:szCs w:val="22"/>
        </w:rPr>
        <w:t xml:space="preserve"> amicus </w:t>
      </w:r>
      <w:r w:rsidR="00E035D9" w:rsidRPr="00C46090">
        <w:rPr>
          <w:rFonts w:asciiTheme="majorHAnsi" w:hAnsiTheme="majorHAnsi"/>
          <w:sz w:val="22"/>
          <w:szCs w:val="22"/>
        </w:rPr>
        <w:t>letter</w:t>
      </w:r>
      <w:r w:rsidR="001F6BC7" w:rsidRPr="00C46090">
        <w:rPr>
          <w:rFonts w:asciiTheme="majorHAnsi" w:hAnsiTheme="majorHAnsi"/>
          <w:sz w:val="22"/>
          <w:szCs w:val="22"/>
        </w:rPr>
        <w:t xml:space="preserve"> urges the California Supreme Court to grant the plaintiff’s petition for review of Family Code </w:t>
      </w:r>
      <w:r w:rsidR="002E4490" w:rsidRPr="00C46090">
        <w:rPr>
          <w:rFonts w:asciiTheme="majorHAnsi" w:hAnsiTheme="majorHAnsi"/>
          <w:sz w:val="22"/>
          <w:szCs w:val="22"/>
        </w:rPr>
        <w:t>Section</w:t>
      </w:r>
      <w:r w:rsidR="00D705B2" w:rsidRPr="00C46090">
        <w:rPr>
          <w:rFonts w:asciiTheme="majorHAnsi" w:hAnsiTheme="majorHAnsi"/>
          <w:sz w:val="22"/>
          <w:szCs w:val="22"/>
        </w:rPr>
        <w:t xml:space="preserve"> 3044 and</w:t>
      </w:r>
      <w:r w:rsidR="001F6BC7" w:rsidRPr="00C46090">
        <w:rPr>
          <w:rFonts w:asciiTheme="majorHAnsi" w:hAnsiTheme="majorHAnsi"/>
          <w:sz w:val="22"/>
          <w:szCs w:val="22"/>
        </w:rPr>
        <w:t xml:space="preserve"> affirm that a preference for “frequent and continuing contact” with both parents may not be considered in rebutting the presumption against awarding custody of a child to a domestic violence abuser.</w:t>
      </w:r>
      <w:r w:rsidR="00D705B2" w:rsidRPr="00C46090">
        <w:rPr>
          <w:rFonts w:asciiTheme="majorHAnsi" w:hAnsiTheme="majorHAnsi"/>
          <w:sz w:val="22"/>
          <w:szCs w:val="22"/>
        </w:rPr>
        <w:t xml:space="preserve"> The amici argue that</w:t>
      </w:r>
      <w:r w:rsidRPr="00C46090">
        <w:rPr>
          <w:rFonts w:asciiTheme="majorHAnsi" w:hAnsiTheme="majorHAnsi"/>
          <w:sz w:val="22"/>
          <w:szCs w:val="22"/>
        </w:rPr>
        <w:t>, despite the clear language of the code,</w:t>
      </w:r>
      <w:r w:rsidR="00D705B2" w:rsidRPr="00C46090">
        <w:rPr>
          <w:rFonts w:asciiTheme="majorHAnsi" w:hAnsiTheme="majorHAnsi"/>
          <w:sz w:val="22"/>
          <w:szCs w:val="22"/>
        </w:rPr>
        <w:t xml:space="preserve"> </w:t>
      </w:r>
      <w:r w:rsidR="002E4490" w:rsidRPr="00C46090">
        <w:rPr>
          <w:rFonts w:asciiTheme="majorHAnsi" w:hAnsiTheme="majorHAnsi"/>
          <w:sz w:val="22"/>
          <w:szCs w:val="22"/>
        </w:rPr>
        <w:t xml:space="preserve">courts regularly misapply </w:t>
      </w:r>
      <w:r w:rsidR="00E035D9" w:rsidRPr="00C46090">
        <w:rPr>
          <w:rFonts w:asciiTheme="majorHAnsi" w:hAnsiTheme="majorHAnsi"/>
          <w:sz w:val="22"/>
          <w:szCs w:val="22"/>
        </w:rPr>
        <w:t>s</w:t>
      </w:r>
      <w:r w:rsidR="002E4490" w:rsidRPr="00C46090">
        <w:rPr>
          <w:rFonts w:asciiTheme="majorHAnsi" w:hAnsiTheme="majorHAnsi"/>
          <w:sz w:val="22"/>
          <w:szCs w:val="22"/>
        </w:rPr>
        <w:t>ection 3044</w:t>
      </w:r>
      <w:r w:rsidR="00E035D9" w:rsidRPr="00C46090">
        <w:rPr>
          <w:rFonts w:asciiTheme="majorHAnsi" w:hAnsiTheme="majorHAnsi"/>
          <w:sz w:val="22"/>
          <w:szCs w:val="22"/>
        </w:rPr>
        <w:t xml:space="preserve"> by evaluating factors beyond those provided in section 3044(b), as the Court did here by improperly </w:t>
      </w:r>
      <w:r w:rsidR="002E4490" w:rsidRPr="00C46090">
        <w:rPr>
          <w:rFonts w:asciiTheme="majorHAnsi" w:hAnsiTheme="majorHAnsi"/>
          <w:sz w:val="22"/>
          <w:szCs w:val="22"/>
        </w:rPr>
        <w:t>considering “</w:t>
      </w:r>
      <w:r w:rsidRPr="00C46090">
        <w:rPr>
          <w:rFonts w:asciiTheme="majorHAnsi" w:hAnsiTheme="majorHAnsi"/>
          <w:sz w:val="22"/>
          <w:szCs w:val="22"/>
        </w:rPr>
        <w:t>frequent and continuing contact</w:t>
      </w:r>
      <w:r w:rsidR="00E035D9" w:rsidRPr="00C46090">
        <w:rPr>
          <w:rFonts w:asciiTheme="majorHAnsi" w:hAnsiTheme="majorHAnsi"/>
          <w:sz w:val="22"/>
          <w:szCs w:val="22"/>
        </w:rPr>
        <w:t>.</w:t>
      </w:r>
      <w:r w:rsidRPr="00C46090">
        <w:rPr>
          <w:rFonts w:asciiTheme="majorHAnsi" w:hAnsiTheme="majorHAnsi"/>
          <w:sz w:val="22"/>
          <w:szCs w:val="22"/>
        </w:rPr>
        <w:t>”</w:t>
      </w:r>
      <w:r w:rsidR="00E035D9" w:rsidRPr="00C46090">
        <w:rPr>
          <w:rFonts w:asciiTheme="majorHAnsi" w:hAnsiTheme="majorHAnsi"/>
          <w:sz w:val="22"/>
          <w:szCs w:val="22"/>
        </w:rPr>
        <w:t xml:space="preserve"> The letter emphasizes that such a consideration is contrary to the purpose of section 3044 by granting an abusive parent custody because it is inherently detrimental to the best interests of the child. </w:t>
      </w:r>
      <w:r w:rsidRPr="00C46090">
        <w:rPr>
          <w:rFonts w:asciiTheme="majorHAnsi" w:hAnsiTheme="majorHAnsi"/>
          <w:sz w:val="22"/>
          <w:szCs w:val="22"/>
        </w:rPr>
        <w:t xml:space="preserve">Further, it argues that joint custody orders that misapply </w:t>
      </w:r>
      <w:r w:rsidR="00E035D9" w:rsidRPr="00C46090">
        <w:rPr>
          <w:rFonts w:asciiTheme="majorHAnsi" w:hAnsiTheme="majorHAnsi"/>
          <w:sz w:val="22"/>
          <w:szCs w:val="22"/>
        </w:rPr>
        <w:t>s</w:t>
      </w:r>
      <w:r w:rsidRPr="00C46090">
        <w:rPr>
          <w:rFonts w:asciiTheme="majorHAnsi" w:hAnsiTheme="majorHAnsi"/>
          <w:sz w:val="22"/>
          <w:szCs w:val="22"/>
        </w:rPr>
        <w:t xml:space="preserve">ection 3044 are harmful to survivors and their children because they provide the abuser opportunities </w:t>
      </w:r>
      <w:r w:rsidR="00D145BF" w:rsidRPr="00C46090">
        <w:rPr>
          <w:rFonts w:asciiTheme="majorHAnsi" w:hAnsiTheme="majorHAnsi"/>
          <w:sz w:val="22"/>
          <w:szCs w:val="22"/>
        </w:rPr>
        <w:t>to control their partner through violence and intimidation, expose</w:t>
      </w:r>
      <w:r w:rsidR="00E035D9" w:rsidRPr="00C46090">
        <w:rPr>
          <w:rFonts w:asciiTheme="majorHAnsi" w:hAnsiTheme="majorHAnsi"/>
          <w:sz w:val="22"/>
          <w:szCs w:val="22"/>
        </w:rPr>
        <w:t xml:space="preserve"> children to harmful effects of domestic violence that can persist throughout adulthood</w:t>
      </w:r>
      <w:r w:rsidR="00D145BF" w:rsidRPr="00C46090">
        <w:rPr>
          <w:rFonts w:asciiTheme="majorHAnsi" w:hAnsiTheme="majorHAnsi"/>
          <w:sz w:val="22"/>
          <w:szCs w:val="22"/>
        </w:rPr>
        <w:t>, and undermine the non-abusive parent’s safety and ability to parent. Lastly,</w:t>
      </w:r>
      <w:r w:rsidR="00E035D9" w:rsidRPr="00C46090">
        <w:rPr>
          <w:rFonts w:asciiTheme="majorHAnsi" w:hAnsiTheme="majorHAnsi"/>
          <w:sz w:val="22"/>
          <w:szCs w:val="22"/>
        </w:rPr>
        <w:t xml:space="preserve"> amici emphasize that</w:t>
      </w:r>
      <w:r w:rsidR="00D145BF" w:rsidRPr="00C46090">
        <w:rPr>
          <w:rFonts w:asciiTheme="majorHAnsi" w:hAnsiTheme="majorHAnsi"/>
          <w:sz w:val="22"/>
          <w:szCs w:val="22"/>
        </w:rPr>
        <w:t xml:space="preserve"> </w:t>
      </w:r>
      <w:r w:rsidR="009D5B30" w:rsidRPr="00C46090">
        <w:rPr>
          <w:rFonts w:asciiTheme="majorHAnsi" w:hAnsiTheme="majorHAnsi"/>
          <w:sz w:val="22"/>
          <w:szCs w:val="22"/>
        </w:rPr>
        <w:t xml:space="preserve">a majority of domestic violence survivors are unrepresented at the trial level, and </w:t>
      </w:r>
      <w:r w:rsidR="009D5B30" w:rsidRPr="00C46090">
        <w:rPr>
          <w:rFonts w:asciiTheme="majorHAnsi" w:hAnsiTheme="majorHAnsi"/>
          <w:i/>
          <w:sz w:val="22"/>
          <w:szCs w:val="22"/>
        </w:rPr>
        <w:t xml:space="preserve">pro se </w:t>
      </w:r>
      <w:r w:rsidR="009D5B30" w:rsidRPr="00C46090">
        <w:rPr>
          <w:rFonts w:asciiTheme="majorHAnsi" w:hAnsiTheme="majorHAnsi"/>
          <w:sz w:val="22"/>
          <w:szCs w:val="22"/>
        </w:rPr>
        <w:t xml:space="preserve">domestic violence survivors may have trouble navigating the court system and understanding the court procedures, rules, and substantive standards. As a result, the survivor is likely to be left without effective guidance on how to advocate on her own behalf and prevent the abuser </w:t>
      </w:r>
      <w:r w:rsidR="00C46090">
        <w:rPr>
          <w:rFonts w:asciiTheme="majorHAnsi" w:hAnsiTheme="majorHAnsi"/>
          <w:sz w:val="22"/>
          <w:szCs w:val="22"/>
        </w:rPr>
        <w:t>from</w:t>
      </w:r>
      <w:r w:rsidR="009D5B30" w:rsidRPr="00C46090">
        <w:rPr>
          <w:rFonts w:asciiTheme="majorHAnsi" w:hAnsiTheme="majorHAnsi"/>
          <w:sz w:val="22"/>
          <w:szCs w:val="22"/>
        </w:rPr>
        <w:t xml:space="preserve"> gaining custody</w:t>
      </w:r>
      <w:r w:rsidR="000448C5" w:rsidRPr="00C46090">
        <w:rPr>
          <w:rFonts w:asciiTheme="majorHAnsi" w:hAnsiTheme="majorHAnsi"/>
          <w:sz w:val="22"/>
          <w:szCs w:val="22"/>
        </w:rPr>
        <w:t xml:space="preserve"> of her child</w:t>
      </w:r>
      <w:r w:rsidR="009D5B30" w:rsidRPr="00C46090">
        <w:rPr>
          <w:rFonts w:asciiTheme="majorHAnsi" w:hAnsiTheme="majorHAnsi"/>
          <w:sz w:val="22"/>
          <w:szCs w:val="22"/>
        </w:rPr>
        <w:t>, absent clarification from the C</w:t>
      </w:r>
      <w:r w:rsidR="00C46090">
        <w:rPr>
          <w:rFonts w:asciiTheme="majorHAnsi" w:hAnsiTheme="majorHAnsi"/>
          <w:sz w:val="22"/>
          <w:szCs w:val="22"/>
        </w:rPr>
        <w:t>alifornia</w:t>
      </w:r>
      <w:r w:rsidR="009D5B30" w:rsidRPr="00C46090">
        <w:rPr>
          <w:rFonts w:asciiTheme="majorHAnsi" w:hAnsiTheme="majorHAnsi"/>
          <w:sz w:val="22"/>
          <w:szCs w:val="22"/>
        </w:rPr>
        <w:t xml:space="preserve"> Supreme</w:t>
      </w:r>
      <w:r w:rsidR="00E035D9" w:rsidRPr="00C46090">
        <w:rPr>
          <w:rFonts w:asciiTheme="majorHAnsi" w:hAnsiTheme="majorHAnsi"/>
          <w:sz w:val="22"/>
          <w:szCs w:val="22"/>
        </w:rPr>
        <w:t xml:space="preserve"> Court</w:t>
      </w:r>
      <w:r w:rsidR="009D5B30" w:rsidRPr="00C46090">
        <w:rPr>
          <w:rFonts w:asciiTheme="majorHAnsi" w:hAnsiTheme="majorHAnsi"/>
          <w:sz w:val="22"/>
          <w:szCs w:val="22"/>
        </w:rPr>
        <w:t xml:space="preserve"> on the correct application of Section 3044</w:t>
      </w:r>
      <w:r w:rsidR="00173B69" w:rsidRPr="00C46090">
        <w:rPr>
          <w:rFonts w:asciiTheme="majorHAnsi" w:hAnsiTheme="majorHAnsi"/>
          <w:sz w:val="22"/>
          <w:szCs w:val="22"/>
        </w:rPr>
        <w:t>.</w:t>
      </w:r>
    </w:p>
    <w:p w14:paraId="545A6627" w14:textId="44E032C2" w:rsidR="006C3028" w:rsidRPr="00C46090" w:rsidRDefault="006C3028" w:rsidP="00173B69">
      <w:pPr>
        <w:rPr>
          <w:rFonts w:asciiTheme="majorHAnsi" w:hAnsiTheme="majorHAnsi"/>
          <w:b/>
          <w:sz w:val="22"/>
          <w:szCs w:val="22"/>
        </w:rPr>
      </w:pPr>
    </w:p>
    <w:p w14:paraId="6808077A" w14:textId="55FB8AE4" w:rsidR="00E035D9" w:rsidRDefault="002B3367" w:rsidP="00173B69">
      <w:pPr>
        <w:rPr>
          <w:rFonts w:asciiTheme="majorHAnsi" w:hAnsiTheme="majorHAnsi"/>
          <w:sz w:val="22"/>
          <w:szCs w:val="22"/>
        </w:rPr>
      </w:pPr>
      <w:r>
        <w:rPr>
          <w:rFonts w:asciiTheme="majorHAnsi" w:hAnsiTheme="majorHAnsi"/>
          <w:sz w:val="22"/>
          <w:szCs w:val="22"/>
        </w:rPr>
        <w:t>On March 14, 2019, t</w:t>
      </w:r>
      <w:r w:rsidR="00E035D9" w:rsidRPr="00C46090">
        <w:rPr>
          <w:rFonts w:asciiTheme="majorHAnsi" w:hAnsiTheme="majorHAnsi"/>
          <w:sz w:val="22"/>
          <w:szCs w:val="22"/>
        </w:rPr>
        <w:t>he C</w:t>
      </w:r>
      <w:r w:rsidR="00C46090">
        <w:rPr>
          <w:rFonts w:asciiTheme="majorHAnsi" w:hAnsiTheme="majorHAnsi"/>
          <w:sz w:val="22"/>
          <w:szCs w:val="22"/>
        </w:rPr>
        <w:t>alifornia</w:t>
      </w:r>
      <w:r w:rsidR="00E035D9" w:rsidRPr="00C46090">
        <w:rPr>
          <w:rFonts w:asciiTheme="majorHAnsi" w:hAnsiTheme="majorHAnsi"/>
          <w:sz w:val="22"/>
          <w:szCs w:val="22"/>
        </w:rPr>
        <w:t xml:space="preserve"> Supreme Court denied </w:t>
      </w:r>
      <w:r>
        <w:rPr>
          <w:rFonts w:asciiTheme="majorHAnsi" w:hAnsiTheme="majorHAnsi"/>
          <w:sz w:val="22"/>
          <w:szCs w:val="22"/>
        </w:rPr>
        <w:t>the</w:t>
      </w:r>
      <w:r w:rsidR="00E035D9" w:rsidRPr="00C46090">
        <w:rPr>
          <w:rFonts w:asciiTheme="majorHAnsi" w:hAnsiTheme="majorHAnsi"/>
          <w:sz w:val="22"/>
          <w:szCs w:val="22"/>
        </w:rPr>
        <w:t xml:space="preserve"> petition for review. Justice </w:t>
      </w:r>
      <w:proofErr w:type="spellStart"/>
      <w:r w:rsidR="00E035D9" w:rsidRPr="00C46090">
        <w:rPr>
          <w:rFonts w:asciiTheme="majorHAnsi" w:hAnsiTheme="majorHAnsi"/>
          <w:sz w:val="22"/>
          <w:szCs w:val="22"/>
        </w:rPr>
        <w:t>Leondra</w:t>
      </w:r>
      <w:proofErr w:type="spellEnd"/>
      <w:r w:rsidR="00E035D9" w:rsidRPr="00C46090">
        <w:rPr>
          <w:rFonts w:asciiTheme="majorHAnsi" w:hAnsiTheme="majorHAnsi"/>
          <w:sz w:val="22"/>
          <w:szCs w:val="22"/>
        </w:rPr>
        <w:t xml:space="preserve"> Kruger dissented, writing only that she is “of the opinion that the petition should be granted.”</w:t>
      </w:r>
    </w:p>
    <w:p w14:paraId="2E0C2ADD" w14:textId="23D5388D" w:rsidR="000F72BC" w:rsidRDefault="000F72BC" w:rsidP="00173B69">
      <w:pPr>
        <w:rPr>
          <w:rFonts w:asciiTheme="majorHAnsi" w:hAnsiTheme="majorHAnsi"/>
          <w:sz w:val="22"/>
          <w:szCs w:val="22"/>
        </w:rPr>
      </w:pPr>
    </w:p>
    <w:p w14:paraId="5642204B" w14:textId="77777777" w:rsidR="000F72BC" w:rsidRPr="00C46090" w:rsidRDefault="000F72BC" w:rsidP="000F72BC">
      <w:pPr>
        <w:pStyle w:val="ListParagraph"/>
        <w:numPr>
          <w:ilvl w:val="0"/>
          <w:numId w:val="1"/>
        </w:numPr>
        <w:rPr>
          <w:rFonts w:asciiTheme="majorHAnsi" w:hAnsiTheme="majorHAnsi"/>
          <w:b/>
          <w:sz w:val="22"/>
          <w:szCs w:val="22"/>
        </w:rPr>
      </w:pPr>
      <w:r w:rsidRPr="00C46090">
        <w:rPr>
          <w:rFonts w:asciiTheme="majorHAnsi" w:hAnsiTheme="majorHAnsi"/>
          <w:b/>
          <w:i/>
          <w:sz w:val="22"/>
          <w:szCs w:val="22"/>
          <w:u w:val="single"/>
        </w:rPr>
        <w:t xml:space="preserve">Katherine </w:t>
      </w:r>
      <w:proofErr w:type="spellStart"/>
      <w:r w:rsidRPr="00C46090">
        <w:rPr>
          <w:rFonts w:asciiTheme="majorHAnsi" w:hAnsiTheme="majorHAnsi"/>
          <w:b/>
          <w:i/>
          <w:sz w:val="22"/>
          <w:szCs w:val="22"/>
          <w:u w:val="single"/>
        </w:rPr>
        <w:t>Moussouris</w:t>
      </w:r>
      <w:proofErr w:type="spellEnd"/>
      <w:r w:rsidRPr="00C46090">
        <w:rPr>
          <w:rFonts w:asciiTheme="majorHAnsi" w:hAnsiTheme="majorHAnsi"/>
          <w:b/>
          <w:i/>
          <w:sz w:val="22"/>
          <w:szCs w:val="22"/>
          <w:u w:val="single"/>
        </w:rPr>
        <w:t>, et. al. v. Microsoft Corp.</w:t>
      </w:r>
      <w:r w:rsidRPr="00C46090">
        <w:rPr>
          <w:rFonts w:asciiTheme="majorHAnsi" w:hAnsiTheme="majorHAnsi"/>
          <w:b/>
          <w:sz w:val="22"/>
          <w:szCs w:val="22"/>
        </w:rPr>
        <w:t xml:space="preserve"> (Ninth Circuit), filed 2/6/19</w:t>
      </w:r>
    </w:p>
    <w:p w14:paraId="41DDC9F8" w14:textId="77777777" w:rsidR="000F72BC" w:rsidRPr="00C46090" w:rsidRDefault="000F72BC" w:rsidP="000F72BC">
      <w:pPr>
        <w:rPr>
          <w:rFonts w:asciiTheme="majorHAnsi" w:hAnsiTheme="majorHAnsi"/>
          <w:b/>
          <w:i/>
          <w:sz w:val="22"/>
          <w:szCs w:val="22"/>
        </w:rPr>
      </w:pPr>
      <w:r w:rsidRPr="00C46090">
        <w:rPr>
          <w:rFonts w:asciiTheme="majorHAnsi" w:hAnsiTheme="majorHAnsi"/>
          <w:b/>
          <w:i/>
          <w:sz w:val="22"/>
          <w:szCs w:val="22"/>
        </w:rPr>
        <w:t>Gender Discrimination</w:t>
      </w:r>
    </w:p>
    <w:p w14:paraId="7499F812" w14:textId="77777777" w:rsidR="000F72BC" w:rsidRPr="00C46090" w:rsidRDefault="000F72BC" w:rsidP="000F72BC">
      <w:pPr>
        <w:rPr>
          <w:rFonts w:asciiTheme="majorHAnsi" w:hAnsiTheme="majorHAnsi"/>
          <w:b/>
          <w:sz w:val="22"/>
          <w:szCs w:val="22"/>
        </w:rPr>
      </w:pPr>
      <w:r w:rsidRPr="00C46090">
        <w:rPr>
          <w:rFonts w:asciiTheme="majorHAnsi" w:hAnsiTheme="majorHAnsi"/>
          <w:b/>
          <w:sz w:val="22"/>
          <w:szCs w:val="22"/>
        </w:rPr>
        <w:t>Author: Impact Fund and Equal Rights Advocates</w:t>
      </w:r>
    </w:p>
    <w:p w14:paraId="51CEC798" w14:textId="77777777" w:rsidR="000F72BC" w:rsidRPr="00C46090" w:rsidRDefault="000F72BC" w:rsidP="000F72BC">
      <w:pPr>
        <w:rPr>
          <w:rFonts w:asciiTheme="majorHAnsi" w:hAnsiTheme="majorHAnsi"/>
          <w:sz w:val="22"/>
          <w:szCs w:val="22"/>
        </w:rPr>
      </w:pPr>
    </w:p>
    <w:p w14:paraId="04CBF235" w14:textId="02B8D4E0" w:rsidR="000F72BC" w:rsidRDefault="000F72BC" w:rsidP="000F72BC">
      <w:pPr>
        <w:rPr>
          <w:rFonts w:asciiTheme="majorHAnsi" w:hAnsiTheme="majorHAnsi"/>
          <w:sz w:val="22"/>
          <w:szCs w:val="22"/>
        </w:rPr>
      </w:pPr>
      <w:r w:rsidRPr="00C46090">
        <w:rPr>
          <w:rFonts w:asciiTheme="majorHAnsi" w:hAnsiTheme="majorHAnsi"/>
          <w:sz w:val="22"/>
          <w:szCs w:val="22"/>
        </w:rPr>
        <w:t>The amicus brief advocates for the Court to reverse and remand the district court’s order denying class certification and particularly scrutinize</w:t>
      </w:r>
      <w:r w:rsidR="0055248A">
        <w:rPr>
          <w:rFonts w:asciiTheme="majorHAnsi" w:hAnsiTheme="majorHAnsi"/>
          <w:sz w:val="22"/>
          <w:szCs w:val="22"/>
        </w:rPr>
        <w:t>s</w:t>
      </w:r>
      <w:r w:rsidRPr="00C46090">
        <w:rPr>
          <w:rFonts w:asciiTheme="majorHAnsi" w:hAnsiTheme="majorHAnsi"/>
          <w:sz w:val="22"/>
          <w:szCs w:val="22"/>
        </w:rPr>
        <w:t xml:space="preserve"> one specific legal error. Amici argue that the district court incorrectly applied a mechanical, mathematical standard to evaluate anecdotal evidence, allowing the Court to ignore eleven declarations from female employees and evidence of hundreds of internal complaints of gender bias. Amici emphasize the power of anecdotal evidence in bringing cold evidence to life and that the ample evidence precluded here was enough to establish systemic discrimination by Microsoft. Additionally, the brief highlights that this arbitrary numerical threshold is particularly detrimental in the context of systemic gender discrimination litigation, where women and other corroborating employees may be more reluctant to speak out against their employers for fear of negative professional and personal ramifications. For these reasons, amici advocate for a more holistic consideration of anecdotal evidence. Lastly, the brief argues that the district court’s analysis of anecdotal evidence will significantly stifle and harm efforts to combat systemic gender discrimination by imposing an erroneous evidentiary hurdle.</w:t>
      </w:r>
    </w:p>
    <w:p w14:paraId="1F178285" w14:textId="77777777" w:rsidR="000F72BC" w:rsidRDefault="000F72BC" w:rsidP="000F72BC">
      <w:pPr>
        <w:rPr>
          <w:rFonts w:asciiTheme="majorHAnsi" w:hAnsiTheme="majorHAnsi"/>
          <w:sz w:val="22"/>
          <w:szCs w:val="22"/>
        </w:rPr>
      </w:pPr>
    </w:p>
    <w:p w14:paraId="63F6E2AF" w14:textId="77777777" w:rsidR="000F72BC" w:rsidRPr="00C46090" w:rsidRDefault="000F72BC" w:rsidP="000F72BC">
      <w:pPr>
        <w:rPr>
          <w:rFonts w:asciiTheme="majorHAnsi" w:hAnsiTheme="majorHAnsi"/>
          <w:sz w:val="22"/>
          <w:szCs w:val="22"/>
        </w:rPr>
      </w:pPr>
      <w:r>
        <w:rPr>
          <w:rFonts w:asciiTheme="majorHAnsi" w:hAnsiTheme="majorHAnsi"/>
          <w:sz w:val="22"/>
          <w:szCs w:val="22"/>
        </w:rPr>
        <w:t xml:space="preserve">Oral argument occurred on November 4, 2019. </w:t>
      </w:r>
    </w:p>
    <w:p w14:paraId="45E75203" w14:textId="7E0C4415" w:rsidR="000F72BC" w:rsidRDefault="000F72BC" w:rsidP="00173B69">
      <w:pPr>
        <w:rPr>
          <w:rFonts w:asciiTheme="majorHAnsi" w:hAnsiTheme="majorHAnsi"/>
          <w:sz w:val="22"/>
          <w:szCs w:val="22"/>
        </w:rPr>
      </w:pPr>
    </w:p>
    <w:p w14:paraId="155DE926" w14:textId="77777777" w:rsidR="00B959A1" w:rsidRPr="00C46090" w:rsidRDefault="00B959A1" w:rsidP="00B959A1">
      <w:pPr>
        <w:pStyle w:val="ListParagraph"/>
        <w:numPr>
          <w:ilvl w:val="0"/>
          <w:numId w:val="1"/>
        </w:numPr>
        <w:rPr>
          <w:rFonts w:asciiTheme="majorHAnsi" w:hAnsiTheme="majorHAnsi"/>
          <w:b/>
          <w:sz w:val="22"/>
          <w:szCs w:val="22"/>
        </w:rPr>
      </w:pPr>
      <w:r w:rsidRPr="00C46090">
        <w:rPr>
          <w:rFonts w:asciiTheme="majorHAnsi" w:hAnsiTheme="majorHAnsi"/>
          <w:b/>
          <w:i/>
          <w:sz w:val="22"/>
          <w:szCs w:val="22"/>
          <w:u w:val="single"/>
        </w:rPr>
        <w:t>Kimberlie Durham v. Rural/Metro Corp.</w:t>
      </w:r>
      <w:r w:rsidRPr="00C46090">
        <w:rPr>
          <w:rFonts w:asciiTheme="majorHAnsi" w:hAnsiTheme="majorHAnsi"/>
          <w:b/>
          <w:sz w:val="22"/>
          <w:szCs w:val="22"/>
        </w:rPr>
        <w:t xml:space="preserve"> (Eleventh Circuit), filed 2/8/19</w:t>
      </w:r>
    </w:p>
    <w:p w14:paraId="4EC61572" w14:textId="77777777" w:rsidR="00B959A1" w:rsidRPr="00C46090" w:rsidRDefault="00B959A1" w:rsidP="00B959A1">
      <w:pPr>
        <w:rPr>
          <w:rFonts w:asciiTheme="majorHAnsi" w:hAnsiTheme="majorHAnsi"/>
          <w:b/>
          <w:i/>
          <w:sz w:val="22"/>
          <w:szCs w:val="22"/>
        </w:rPr>
      </w:pPr>
      <w:r w:rsidRPr="00C46090">
        <w:rPr>
          <w:rFonts w:asciiTheme="majorHAnsi" w:hAnsiTheme="majorHAnsi"/>
          <w:b/>
          <w:i/>
          <w:sz w:val="22"/>
          <w:szCs w:val="22"/>
        </w:rPr>
        <w:lastRenderedPageBreak/>
        <w:t xml:space="preserve">Pregnancy Discrimination </w:t>
      </w:r>
    </w:p>
    <w:p w14:paraId="20318A90" w14:textId="77777777" w:rsidR="00B959A1" w:rsidRPr="00C46090" w:rsidRDefault="00B959A1" w:rsidP="00B959A1">
      <w:pPr>
        <w:rPr>
          <w:rFonts w:asciiTheme="majorHAnsi" w:hAnsiTheme="majorHAnsi"/>
          <w:b/>
          <w:sz w:val="22"/>
          <w:szCs w:val="22"/>
        </w:rPr>
      </w:pPr>
      <w:r w:rsidRPr="00C46090">
        <w:rPr>
          <w:rFonts w:asciiTheme="majorHAnsi" w:hAnsiTheme="majorHAnsi"/>
          <w:b/>
          <w:sz w:val="22"/>
          <w:szCs w:val="22"/>
        </w:rPr>
        <w:t xml:space="preserve">Author: A Better Balance and </w:t>
      </w:r>
      <w:r>
        <w:rPr>
          <w:rFonts w:asciiTheme="majorHAnsi" w:hAnsiTheme="majorHAnsi"/>
          <w:b/>
          <w:sz w:val="22"/>
          <w:szCs w:val="22"/>
        </w:rPr>
        <w:t xml:space="preserve">The </w:t>
      </w:r>
      <w:r w:rsidRPr="00C46090">
        <w:rPr>
          <w:rFonts w:asciiTheme="majorHAnsi" w:hAnsiTheme="majorHAnsi"/>
          <w:b/>
          <w:sz w:val="22"/>
          <w:szCs w:val="22"/>
        </w:rPr>
        <w:t xml:space="preserve">Center for </w:t>
      </w:r>
      <w:proofErr w:type="spellStart"/>
      <w:r w:rsidRPr="00C46090">
        <w:rPr>
          <w:rFonts w:asciiTheme="majorHAnsi" w:hAnsiTheme="majorHAnsi"/>
          <w:b/>
          <w:sz w:val="22"/>
          <w:szCs w:val="22"/>
        </w:rPr>
        <w:t>Worklife</w:t>
      </w:r>
      <w:proofErr w:type="spellEnd"/>
      <w:r w:rsidRPr="00C46090">
        <w:rPr>
          <w:rFonts w:asciiTheme="majorHAnsi" w:hAnsiTheme="majorHAnsi"/>
          <w:b/>
          <w:sz w:val="22"/>
          <w:szCs w:val="22"/>
        </w:rPr>
        <w:t xml:space="preserve"> Law</w:t>
      </w:r>
    </w:p>
    <w:p w14:paraId="279D691E" w14:textId="7928FCF7" w:rsidR="00B959A1" w:rsidRDefault="00B959A1" w:rsidP="00B959A1">
      <w:pPr>
        <w:pStyle w:val="NormalWeb"/>
        <w:rPr>
          <w:rFonts w:asciiTheme="majorHAnsi" w:hAnsiTheme="majorHAnsi"/>
          <w:sz w:val="22"/>
          <w:szCs w:val="22"/>
        </w:rPr>
      </w:pPr>
      <w:r w:rsidRPr="00C46090">
        <w:rPr>
          <w:rFonts w:asciiTheme="majorHAnsi" w:hAnsiTheme="majorHAnsi"/>
          <w:sz w:val="22"/>
          <w:szCs w:val="22"/>
        </w:rPr>
        <w:t xml:space="preserve">The amicus brief urges the Eleventh Circuit to reverse the district court’s decision to grant summary judgment to Rural/Metro Corporation because the district court failed to apply the correct standard for establishing a prima facie case of discrimination based on an employer’s failure to accommodate </w:t>
      </w:r>
      <w:r w:rsidR="00095B52">
        <w:rPr>
          <w:rFonts w:asciiTheme="majorHAnsi" w:hAnsiTheme="majorHAnsi"/>
          <w:sz w:val="22"/>
          <w:szCs w:val="22"/>
        </w:rPr>
        <w:t xml:space="preserve">a </w:t>
      </w:r>
      <w:r w:rsidRPr="00C46090">
        <w:rPr>
          <w:rFonts w:asciiTheme="majorHAnsi" w:hAnsiTheme="majorHAnsi"/>
          <w:sz w:val="22"/>
          <w:szCs w:val="22"/>
        </w:rPr>
        <w:t xml:space="preserve">pregnancy. Amici argue the district court’s decision contradicts the Pregnancy Discrimination Act’s (PDA) central intent of preventing employers from forcing women </w:t>
      </w:r>
      <w:r w:rsidR="00095B52">
        <w:rPr>
          <w:rFonts w:asciiTheme="majorHAnsi" w:hAnsiTheme="majorHAnsi"/>
          <w:sz w:val="22"/>
          <w:szCs w:val="22"/>
        </w:rPr>
        <w:t>out of their job</w:t>
      </w:r>
      <w:r w:rsidRPr="00C46090">
        <w:rPr>
          <w:rFonts w:asciiTheme="majorHAnsi" w:hAnsiTheme="majorHAnsi"/>
          <w:sz w:val="22"/>
          <w:szCs w:val="22"/>
        </w:rPr>
        <w:t xml:space="preserve"> due to</w:t>
      </w:r>
      <w:r w:rsidR="00095B52">
        <w:rPr>
          <w:rFonts w:asciiTheme="majorHAnsi" w:hAnsiTheme="majorHAnsi"/>
          <w:sz w:val="22"/>
          <w:szCs w:val="22"/>
        </w:rPr>
        <w:t xml:space="preserve"> their</w:t>
      </w:r>
      <w:r w:rsidRPr="00C46090">
        <w:rPr>
          <w:rFonts w:asciiTheme="majorHAnsi" w:hAnsiTheme="majorHAnsi"/>
          <w:sz w:val="22"/>
          <w:szCs w:val="22"/>
        </w:rPr>
        <w:t xml:space="preserve"> pregnancy. By failing to apply the correct standard, the brief argues that the lower court committed four legal errors. First, the Supreme Court in </w:t>
      </w:r>
      <w:r w:rsidRPr="00C46090">
        <w:rPr>
          <w:rFonts w:asciiTheme="majorHAnsi" w:hAnsiTheme="majorHAnsi"/>
          <w:i/>
          <w:sz w:val="22"/>
          <w:szCs w:val="22"/>
        </w:rPr>
        <w:t>Young v. United Parcel Services, Inc.</w:t>
      </w:r>
      <w:r w:rsidRPr="00C46090">
        <w:rPr>
          <w:rFonts w:asciiTheme="majorHAnsi" w:hAnsiTheme="majorHAnsi"/>
          <w:sz w:val="22"/>
          <w:szCs w:val="22"/>
        </w:rPr>
        <w:t xml:space="preserve"> deemed that showing that an “employer did not accommodate her” was sufficient to satisfy the “adverse action” requirement to establish a prima facie case. Amici argue the plaintiff satisfied this requirement by providing evidence that her employer denied her requested accommodation for a light duty assignment or transfer. Second, the brief argues that the plaintiff is not required to identify similarly-abled employees who were injured in the same way, as the district court erroneously held, but the relevant inquiry is rather whether </w:t>
      </w:r>
      <w:r w:rsidR="00D27003">
        <w:rPr>
          <w:rFonts w:asciiTheme="majorHAnsi" w:hAnsiTheme="majorHAnsi"/>
          <w:sz w:val="22"/>
          <w:szCs w:val="22"/>
        </w:rPr>
        <w:t xml:space="preserve">other </w:t>
      </w:r>
      <w:r w:rsidRPr="00C46090">
        <w:rPr>
          <w:rFonts w:asciiTheme="majorHAnsi" w:hAnsiTheme="majorHAnsi"/>
          <w:sz w:val="22"/>
          <w:szCs w:val="22"/>
        </w:rPr>
        <w:t>employees are similar to the plaintiff in ability or inability to work. Third, the plaintiff is not required to provide several categories of accommodated workers to establish a prima facie case; establishing that some similarly-abled employees</w:t>
      </w:r>
      <w:r w:rsidR="00D27003">
        <w:rPr>
          <w:rFonts w:asciiTheme="majorHAnsi" w:hAnsiTheme="majorHAnsi"/>
          <w:sz w:val="22"/>
          <w:szCs w:val="22"/>
        </w:rPr>
        <w:t xml:space="preserve"> were accommodated</w:t>
      </w:r>
      <w:r w:rsidRPr="00C46090">
        <w:rPr>
          <w:rFonts w:asciiTheme="majorHAnsi" w:hAnsiTheme="majorHAnsi"/>
          <w:sz w:val="22"/>
          <w:szCs w:val="22"/>
        </w:rPr>
        <w:t xml:space="preserve">, as the plaintiff did here, is sufficient according to </w:t>
      </w:r>
      <w:r w:rsidRPr="00C46090">
        <w:rPr>
          <w:rFonts w:asciiTheme="majorHAnsi" w:hAnsiTheme="majorHAnsi"/>
          <w:i/>
          <w:sz w:val="22"/>
          <w:szCs w:val="22"/>
        </w:rPr>
        <w:t>Young</w:t>
      </w:r>
      <w:r w:rsidRPr="00C46090">
        <w:rPr>
          <w:rFonts w:asciiTheme="majorHAnsi" w:hAnsiTheme="majorHAnsi"/>
          <w:sz w:val="22"/>
          <w:szCs w:val="22"/>
        </w:rPr>
        <w:t xml:space="preserve">. Fourth, the plaintiff met her prima facie burden by establishing that (1) she belonged to a protected class, (2) she sought accommodation, and (3) her employer did not accommodate her. The brief emphasizes that </w:t>
      </w:r>
      <w:r w:rsidRPr="00C46090">
        <w:rPr>
          <w:rFonts w:asciiTheme="majorHAnsi" w:hAnsiTheme="majorHAnsi"/>
          <w:i/>
          <w:sz w:val="22"/>
          <w:szCs w:val="22"/>
        </w:rPr>
        <w:t>Durham</w:t>
      </w:r>
      <w:r w:rsidRPr="00C46090">
        <w:rPr>
          <w:rFonts w:asciiTheme="majorHAnsi" w:hAnsiTheme="majorHAnsi"/>
          <w:sz w:val="22"/>
          <w:szCs w:val="22"/>
        </w:rPr>
        <w:t xml:space="preserve">, if not reversed, allows employers to prevent pregnant employees from working if they need accommodations, frustrating Congress’ purpose in passing the Pregnancy Discrimination Act. </w:t>
      </w:r>
    </w:p>
    <w:p w14:paraId="6DA0F91E" w14:textId="147E620F" w:rsidR="00E035D9" w:rsidRPr="00C46090" w:rsidRDefault="00B959A1" w:rsidP="0042173E">
      <w:pPr>
        <w:pStyle w:val="NormalWeb"/>
        <w:rPr>
          <w:rFonts w:asciiTheme="majorHAnsi" w:hAnsiTheme="majorHAnsi"/>
          <w:sz w:val="22"/>
          <w:szCs w:val="22"/>
        </w:rPr>
      </w:pPr>
      <w:r>
        <w:rPr>
          <w:rFonts w:asciiTheme="majorHAnsi" w:hAnsiTheme="majorHAnsi"/>
          <w:sz w:val="22"/>
          <w:szCs w:val="22"/>
        </w:rPr>
        <w:t xml:space="preserve">This case remains pending in the Eleventh Circuit. Oral argument is scheduled for January 15, 2020. </w:t>
      </w:r>
    </w:p>
    <w:p w14:paraId="3F07C084" w14:textId="5E1DF6F9" w:rsidR="00E035D9" w:rsidRPr="00C46090" w:rsidRDefault="009039FD" w:rsidP="00B959A1">
      <w:pPr>
        <w:pStyle w:val="ListParagraph"/>
        <w:numPr>
          <w:ilvl w:val="0"/>
          <w:numId w:val="1"/>
        </w:numPr>
        <w:rPr>
          <w:rFonts w:asciiTheme="majorHAnsi" w:hAnsiTheme="majorHAnsi"/>
          <w:b/>
          <w:i/>
          <w:sz w:val="22"/>
          <w:szCs w:val="22"/>
        </w:rPr>
      </w:pPr>
      <w:proofErr w:type="spellStart"/>
      <w:r w:rsidRPr="00C46090">
        <w:rPr>
          <w:rFonts w:asciiTheme="majorHAnsi" w:hAnsiTheme="majorHAnsi"/>
          <w:b/>
          <w:i/>
          <w:sz w:val="22"/>
          <w:szCs w:val="22"/>
          <w:u w:val="single"/>
        </w:rPr>
        <w:t>Adali</w:t>
      </w:r>
      <w:proofErr w:type="spellEnd"/>
      <w:r w:rsidRPr="00C46090">
        <w:rPr>
          <w:rFonts w:asciiTheme="majorHAnsi" w:hAnsiTheme="majorHAnsi"/>
          <w:b/>
          <w:i/>
          <w:sz w:val="22"/>
          <w:szCs w:val="22"/>
          <w:u w:val="single"/>
        </w:rPr>
        <w:t xml:space="preserve"> Lugo v. Moises Corona</w:t>
      </w:r>
      <w:r w:rsidRPr="00C46090">
        <w:rPr>
          <w:rFonts w:asciiTheme="majorHAnsi" w:hAnsiTheme="majorHAnsi"/>
          <w:b/>
          <w:sz w:val="22"/>
          <w:szCs w:val="22"/>
        </w:rPr>
        <w:t xml:space="preserve"> (</w:t>
      </w:r>
      <w:r w:rsidR="006F361C" w:rsidRPr="00C46090">
        <w:rPr>
          <w:rFonts w:asciiTheme="majorHAnsi" w:hAnsiTheme="majorHAnsi"/>
          <w:b/>
          <w:sz w:val="22"/>
          <w:szCs w:val="22"/>
        </w:rPr>
        <w:t xml:space="preserve">CA </w:t>
      </w:r>
      <w:r w:rsidR="00E035D9" w:rsidRPr="00C46090">
        <w:rPr>
          <w:rFonts w:asciiTheme="majorHAnsi" w:hAnsiTheme="majorHAnsi"/>
          <w:b/>
          <w:sz w:val="22"/>
          <w:szCs w:val="22"/>
        </w:rPr>
        <w:t>Court of Appeal</w:t>
      </w:r>
      <w:r w:rsidRPr="00C46090">
        <w:rPr>
          <w:rFonts w:asciiTheme="majorHAnsi" w:hAnsiTheme="majorHAnsi"/>
          <w:b/>
          <w:sz w:val="22"/>
          <w:szCs w:val="22"/>
        </w:rPr>
        <w:t xml:space="preserve">), </w:t>
      </w:r>
      <w:r w:rsidR="003E264D" w:rsidRPr="00C46090">
        <w:rPr>
          <w:rFonts w:asciiTheme="majorHAnsi" w:hAnsiTheme="majorHAnsi"/>
          <w:b/>
          <w:sz w:val="22"/>
          <w:szCs w:val="22"/>
        </w:rPr>
        <w:t xml:space="preserve">filed </w:t>
      </w:r>
      <w:r w:rsidR="00E035D9" w:rsidRPr="00C46090">
        <w:rPr>
          <w:rFonts w:asciiTheme="majorHAnsi" w:hAnsiTheme="majorHAnsi"/>
          <w:b/>
          <w:sz w:val="22"/>
          <w:szCs w:val="22"/>
        </w:rPr>
        <w:t>2/14/19</w:t>
      </w:r>
    </w:p>
    <w:p w14:paraId="65DD9EDC" w14:textId="2C39C358" w:rsidR="006F361C" w:rsidRPr="00C46090" w:rsidRDefault="00DB2555" w:rsidP="00E035D9">
      <w:pPr>
        <w:rPr>
          <w:rFonts w:asciiTheme="majorHAnsi" w:hAnsiTheme="majorHAnsi"/>
          <w:b/>
          <w:i/>
          <w:sz w:val="22"/>
          <w:szCs w:val="22"/>
        </w:rPr>
      </w:pPr>
      <w:r w:rsidRPr="00C46090">
        <w:rPr>
          <w:rFonts w:asciiTheme="majorHAnsi" w:hAnsiTheme="majorHAnsi"/>
          <w:b/>
          <w:i/>
          <w:sz w:val="22"/>
          <w:szCs w:val="22"/>
        </w:rPr>
        <w:t>Domestic Violence</w:t>
      </w:r>
    </w:p>
    <w:p w14:paraId="02244A0C" w14:textId="7F3599E1" w:rsidR="00DB2555" w:rsidRPr="00C46090" w:rsidRDefault="006F361C" w:rsidP="00DB2555">
      <w:pPr>
        <w:rPr>
          <w:rFonts w:asciiTheme="majorHAnsi" w:hAnsiTheme="majorHAnsi"/>
          <w:b/>
          <w:sz w:val="22"/>
          <w:szCs w:val="22"/>
        </w:rPr>
      </w:pPr>
      <w:r w:rsidRPr="00C46090">
        <w:rPr>
          <w:rFonts w:asciiTheme="majorHAnsi" w:hAnsiTheme="majorHAnsi"/>
          <w:b/>
          <w:sz w:val="22"/>
          <w:szCs w:val="22"/>
        </w:rPr>
        <w:t>Author: C</w:t>
      </w:r>
      <w:r w:rsidR="00AA6233">
        <w:rPr>
          <w:rFonts w:asciiTheme="majorHAnsi" w:hAnsiTheme="majorHAnsi"/>
          <w:b/>
          <w:sz w:val="22"/>
          <w:szCs w:val="22"/>
        </w:rPr>
        <w:t>alifornia Women’s Law Center</w:t>
      </w:r>
    </w:p>
    <w:p w14:paraId="1EE56DDC" w14:textId="77777777" w:rsidR="005E5961" w:rsidRPr="00C46090" w:rsidRDefault="005E5961" w:rsidP="00DB2555">
      <w:pPr>
        <w:rPr>
          <w:rFonts w:asciiTheme="majorHAnsi" w:hAnsiTheme="majorHAnsi"/>
          <w:sz w:val="22"/>
          <w:szCs w:val="22"/>
        </w:rPr>
      </w:pPr>
    </w:p>
    <w:p w14:paraId="1D35BA52" w14:textId="71B7A9CF" w:rsidR="00107D48" w:rsidRPr="00C46090" w:rsidRDefault="005E5961" w:rsidP="00DB2555">
      <w:pPr>
        <w:rPr>
          <w:rFonts w:asciiTheme="majorHAnsi" w:hAnsiTheme="majorHAnsi"/>
          <w:sz w:val="22"/>
          <w:szCs w:val="22"/>
        </w:rPr>
      </w:pPr>
      <w:r w:rsidRPr="00C46090">
        <w:rPr>
          <w:rFonts w:asciiTheme="majorHAnsi" w:hAnsiTheme="majorHAnsi"/>
          <w:sz w:val="22"/>
          <w:szCs w:val="22"/>
        </w:rPr>
        <w:t xml:space="preserve">The amicus brief argues that the trial court committed legal error </w:t>
      </w:r>
      <w:r w:rsidR="00E035D9" w:rsidRPr="00C46090">
        <w:rPr>
          <w:rFonts w:asciiTheme="majorHAnsi" w:hAnsiTheme="majorHAnsi"/>
          <w:sz w:val="22"/>
          <w:szCs w:val="22"/>
        </w:rPr>
        <w:t>in</w:t>
      </w:r>
      <w:r w:rsidRPr="00C46090">
        <w:rPr>
          <w:rFonts w:asciiTheme="majorHAnsi" w:hAnsiTheme="majorHAnsi"/>
          <w:sz w:val="22"/>
          <w:szCs w:val="22"/>
        </w:rPr>
        <w:t xml:space="preserve"> holding that an existing criminal protective order </w:t>
      </w:r>
      <w:r w:rsidR="00BA79B9" w:rsidRPr="00C46090">
        <w:rPr>
          <w:rFonts w:asciiTheme="majorHAnsi" w:hAnsiTheme="majorHAnsi"/>
          <w:sz w:val="22"/>
          <w:szCs w:val="22"/>
        </w:rPr>
        <w:t xml:space="preserve">prohibited it from issuing a </w:t>
      </w:r>
      <w:r w:rsidR="00EF716D">
        <w:rPr>
          <w:rFonts w:asciiTheme="majorHAnsi" w:hAnsiTheme="majorHAnsi"/>
          <w:sz w:val="22"/>
          <w:szCs w:val="22"/>
        </w:rPr>
        <w:t xml:space="preserve">civil </w:t>
      </w:r>
      <w:r w:rsidR="00BA79B9" w:rsidRPr="00C46090">
        <w:rPr>
          <w:rFonts w:asciiTheme="majorHAnsi" w:hAnsiTheme="majorHAnsi"/>
          <w:sz w:val="22"/>
          <w:szCs w:val="22"/>
        </w:rPr>
        <w:t>restraining order under the Domestic Violence Protection Act (DPVA)</w:t>
      </w:r>
      <w:r w:rsidR="00EF716D">
        <w:rPr>
          <w:rFonts w:asciiTheme="majorHAnsi" w:hAnsiTheme="majorHAnsi"/>
          <w:sz w:val="22"/>
          <w:szCs w:val="22"/>
        </w:rPr>
        <w:t xml:space="preserve">. The brief </w:t>
      </w:r>
      <w:r w:rsidR="00E035D9" w:rsidRPr="00C46090">
        <w:rPr>
          <w:rFonts w:asciiTheme="majorHAnsi" w:hAnsiTheme="majorHAnsi"/>
          <w:sz w:val="22"/>
          <w:szCs w:val="22"/>
        </w:rPr>
        <w:t xml:space="preserve">asks the court to clarify that California law encourages the coexistence of criminal protective orders and DPVA restraining orders. Amici further argue that </w:t>
      </w:r>
      <w:r w:rsidR="00BA79B9" w:rsidRPr="00C46090">
        <w:rPr>
          <w:rFonts w:asciiTheme="majorHAnsi" w:hAnsiTheme="majorHAnsi"/>
          <w:sz w:val="22"/>
          <w:szCs w:val="22"/>
        </w:rPr>
        <w:t>this error, if repeated, would jeopardize the safety of Californians seeking protection against domestic violence</w:t>
      </w:r>
      <w:r w:rsidR="00E035D9" w:rsidRPr="00C46090">
        <w:rPr>
          <w:rFonts w:asciiTheme="majorHAnsi" w:hAnsiTheme="majorHAnsi"/>
          <w:sz w:val="22"/>
          <w:szCs w:val="22"/>
        </w:rPr>
        <w:t xml:space="preserve"> and that this finding was in error for three reasons</w:t>
      </w:r>
      <w:r w:rsidR="00BA79B9" w:rsidRPr="00C46090">
        <w:rPr>
          <w:rFonts w:asciiTheme="majorHAnsi" w:hAnsiTheme="majorHAnsi"/>
          <w:sz w:val="22"/>
          <w:szCs w:val="22"/>
        </w:rPr>
        <w:t>.</w:t>
      </w:r>
      <w:r w:rsidR="00A44B2E" w:rsidRPr="00C46090">
        <w:rPr>
          <w:rFonts w:asciiTheme="majorHAnsi" w:hAnsiTheme="majorHAnsi"/>
          <w:sz w:val="22"/>
          <w:szCs w:val="22"/>
        </w:rPr>
        <w:t xml:space="preserve"> First, the trial court’s reasoning contradicts the text, structure, and legislative intent of DPVA, Family Code provisions, and guidance from the Judicial Council</w:t>
      </w:r>
      <w:r w:rsidR="00E035D9" w:rsidRPr="00C46090">
        <w:rPr>
          <w:rFonts w:asciiTheme="majorHAnsi" w:hAnsiTheme="majorHAnsi"/>
          <w:sz w:val="22"/>
          <w:szCs w:val="22"/>
        </w:rPr>
        <w:t>, all of which the brief argues demonstrate the intent for criminal protective orders and DVPA restraining orders to coexist</w:t>
      </w:r>
      <w:r w:rsidR="00A44B2E" w:rsidRPr="00C46090">
        <w:rPr>
          <w:rFonts w:asciiTheme="majorHAnsi" w:hAnsiTheme="majorHAnsi"/>
          <w:sz w:val="22"/>
          <w:szCs w:val="22"/>
        </w:rPr>
        <w:t>.</w:t>
      </w:r>
      <w:r w:rsidR="003D317E" w:rsidRPr="00C46090">
        <w:rPr>
          <w:rFonts w:asciiTheme="majorHAnsi" w:hAnsiTheme="majorHAnsi"/>
          <w:sz w:val="22"/>
          <w:szCs w:val="22"/>
        </w:rPr>
        <w:t xml:space="preserve"> Second, the coexistence of civil and criminal restraining orders is </w:t>
      </w:r>
      <w:r w:rsidR="00E035D9" w:rsidRPr="00C46090">
        <w:rPr>
          <w:rFonts w:asciiTheme="majorHAnsi" w:hAnsiTheme="majorHAnsi"/>
          <w:sz w:val="22"/>
          <w:szCs w:val="22"/>
        </w:rPr>
        <w:t>critical</w:t>
      </w:r>
      <w:r w:rsidR="003D317E" w:rsidRPr="00C46090">
        <w:rPr>
          <w:rFonts w:asciiTheme="majorHAnsi" w:hAnsiTheme="majorHAnsi"/>
          <w:sz w:val="22"/>
          <w:szCs w:val="22"/>
        </w:rPr>
        <w:t xml:space="preserve"> because the two serve different purposes</w:t>
      </w:r>
      <w:r w:rsidR="00E035D9" w:rsidRPr="00C46090">
        <w:rPr>
          <w:rFonts w:asciiTheme="majorHAnsi" w:hAnsiTheme="majorHAnsi"/>
          <w:sz w:val="22"/>
          <w:szCs w:val="22"/>
        </w:rPr>
        <w:t xml:space="preserve">; DPVA’s </w:t>
      </w:r>
      <w:r w:rsidR="00107D48" w:rsidRPr="00C46090">
        <w:rPr>
          <w:rFonts w:asciiTheme="majorHAnsi" w:hAnsiTheme="majorHAnsi"/>
          <w:sz w:val="22"/>
          <w:szCs w:val="22"/>
        </w:rPr>
        <w:t>singular</w:t>
      </w:r>
      <w:r w:rsidR="00E035D9" w:rsidRPr="00C46090">
        <w:rPr>
          <w:rFonts w:asciiTheme="majorHAnsi" w:hAnsiTheme="majorHAnsi"/>
          <w:sz w:val="22"/>
          <w:szCs w:val="22"/>
        </w:rPr>
        <w:t xml:space="preserve"> focus is to provide domestic abuse survivors protection</w:t>
      </w:r>
      <w:r w:rsidR="00107D48" w:rsidRPr="00C46090">
        <w:rPr>
          <w:rFonts w:asciiTheme="majorHAnsi" w:hAnsiTheme="majorHAnsi"/>
          <w:sz w:val="22"/>
          <w:szCs w:val="22"/>
        </w:rPr>
        <w:t>, whereas criminal protective orders serve other purposes than solely protecting domestic abuse victims</w:t>
      </w:r>
      <w:r w:rsidR="000D543C" w:rsidRPr="00C46090">
        <w:rPr>
          <w:rFonts w:asciiTheme="majorHAnsi" w:hAnsiTheme="majorHAnsi"/>
          <w:sz w:val="22"/>
          <w:szCs w:val="22"/>
        </w:rPr>
        <w:t xml:space="preserve">. </w:t>
      </w:r>
      <w:r w:rsidR="003D317E" w:rsidRPr="00C46090">
        <w:rPr>
          <w:rFonts w:asciiTheme="majorHAnsi" w:hAnsiTheme="majorHAnsi"/>
          <w:sz w:val="22"/>
          <w:szCs w:val="22"/>
        </w:rPr>
        <w:t xml:space="preserve">Third, </w:t>
      </w:r>
      <w:r w:rsidR="00107D48" w:rsidRPr="00C46090">
        <w:rPr>
          <w:rFonts w:asciiTheme="majorHAnsi" w:hAnsiTheme="majorHAnsi"/>
          <w:sz w:val="22"/>
          <w:szCs w:val="22"/>
        </w:rPr>
        <w:t xml:space="preserve">the experience of </w:t>
      </w:r>
      <w:r w:rsidR="003D317E" w:rsidRPr="00C46090">
        <w:rPr>
          <w:rFonts w:asciiTheme="majorHAnsi" w:hAnsiTheme="majorHAnsi"/>
          <w:sz w:val="22"/>
          <w:szCs w:val="22"/>
        </w:rPr>
        <w:t>monolingual Spanish speakers lack</w:t>
      </w:r>
      <w:r w:rsidR="00B94557" w:rsidRPr="00C46090">
        <w:rPr>
          <w:rFonts w:asciiTheme="majorHAnsi" w:hAnsiTheme="majorHAnsi"/>
          <w:sz w:val="22"/>
          <w:szCs w:val="22"/>
        </w:rPr>
        <w:t>ing</w:t>
      </w:r>
      <w:r w:rsidR="003D317E" w:rsidRPr="00C46090">
        <w:rPr>
          <w:rFonts w:asciiTheme="majorHAnsi" w:hAnsiTheme="majorHAnsi"/>
          <w:sz w:val="22"/>
          <w:szCs w:val="22"/>
        </w:rPr>
        <w:t xml:space="preserve"> access to legal representation, </w:t>
      </w:r>
      <w:r w:rsidR="00B94557" w:rsidRPr="00C46090">
        <w:rPr>
          <w:rFonts w:asciiTheme="majorHAnsi" w:hAnsiTheme="majorHAnsi"/>
          <w:sz w:val="22"/>
          <w:szCs w:val="22"/>
        </w:rPr>
        <w:t xml:space="preserve">who compose </w:t>
      </w:r>
      <w:r w:rsidR="003D317E" w:rsidRPr="00C46090">
        <w:rPr>
          <w:rFonts w:asciiTheme="majorHAnsi" w:hAnsiTheme="majorHAnsi"/>
          <w:sz w:val="22"/>
          <w:szCs w:val="22"/>
        </w:rPr>
        <w:t>a significant subset of those seeking the DVPA’s protection in California</w:t>
      </w:r>
      <w:r w:rsidR="00107D48" w:rsidRPr="00C46090">
        <w:rPr>
          <w:rFonts w:asciiTheme="majorHAnsi" w:hAnsiTheme="majorHAnsi"/>
          <w:sz w:val="22"/>
          <w:szCs w:val="22"/>
        </w:rPr>
        <w:t>, evidences the need for the Court to correct this error because the trial court’s legal error would make it more difficult for these survivors to seek legal protections.</w:t>
      </w:r>
    </w:p>
    <w:p w14:paraId="07AA3BD8" w14:textId="77777777" w:rsidR="00107D48" w:rsidRPr="00C46090" w:rsidRDefault="00107D48" w:rsidP="00DB2555">
      <w:pPr>
        <w:rPr>
          <w:rFonts w:asciiTheme="majorHAnsi" w:hAnsiTheme="majorHAnsi"/>
          <w:sz w:val="22"/>
          <w:szCs w:val="22"/>
        </w:rPr>
      </w:pPr>
    </w:p>
    <w:p w14:paraId="62B45721" w14:textId="37E1FE48" w:rsidR="005E5961" w:rsidRDefault="002B3367" w:rsidP="00DB2555">
      <w:pPr>
        <w:rPr>
          <w:rFonts w:asciiTheme="majorHAnsi" w:hAnsiTheme="majorHAnsi"/>
          <w:sz w:val="22"/>
          <w:szCs w:val="22"/>
        </w:rPr>
      </w:pPr>
      <w:r>
        <w:rPr>
          <w:rFonts w:asciiTheme="majorHAnsi" w:hAnsiTheme="majorHAnsi"/>
          <w:sz w:val="22"/>
          <w:szCs w:val="22"/>
        </w:rPr>
        <w:t>On May 28, 2019, t</w:t>
      </w:r>
      <w:r w:rsidR="00107D48" w:rsidRPr="00C46090">
        <w:rPr>
          <w:rFonts w:asciiTheme="majorHAnsi" w:hAnsiTheme="majorHAnsi"/>
          <w:sz w:val="22"/>
          <w:szCs w:val="22"/>
        </w:rPr>
        <w:t>he Court of Appeal reversed the trial court’s decision and remanded</w:t>
      </w:r>
      <w:r>
        <w:rPr>
          <w:rFonts w:asciiTheme="majorHAnsi" w:hAnsiTheme="majorHAnsi"/>
          <w:sz w:val="22"/>
          <w:szCs w:val="22"/>
        </w:rPr>
        <w:t xml:space="preserve"> in a published decision</w:t>
      </w:r>
      <w:r w:rsidR="00107D48" w:rsidRPr="00C46090">
        <w:rPr>
          <w:rFonts w:asciiTheme="majorHAnsi" w:hAnsiTheme="majorHAnsi"/>
          <w:sz w:val="22"/>
          <w:szCs w:val="22"/>
        </w:rPr>
        <w:t>, holding that the existence of a criminal protective order is not a bar to the issuance of a</w:t>
      </w:r>
      <w:r>
        <w:rPr>
          <w:rFonts w:asciiTheme="majorHAnsi" w:hAnsiTheme="majorHAnsi"/>
          <w:sz w:val="22"/>
          <w:szCs w:val="22"/>
        </w:rPr>
        <w:t xml:space="preserve"> domestic violence restraining order</w:t>
      </w:r>
      <w:r w:rsidR="00107D48" w:rsidRPr="00C46090">
        <w:rPr>
          <w:rFonts w:asciiTheme="majorHAnsi" w:hAnsiTheme="majorHAnsi"/>
          <w:sz w:val="22"/>
          <w:szCs w:val="22"/>
        </w:rPr>
        <w:t xml:space="preserve">. </w:t>
      </w:r>
    </w:p>
    <w:p w14:paraId="73E4D5C3" w14:textId="2CE9903A" w:rsidR="0042173E" w:rsidRDefault="0042173E" w:rsidP="00DB2555">
      <w:pPr>
        <w:rPr>
          <w:rFonts w:asciiTheme="majorHAnsi" w:hAnsiTheme="majorHAnsi"/>
          <w:sz w:val="22"/>
          <w:szCs w:val="22"/>
        </w:rPr>
      </w:pPr>
    </w:p>
    <w:p w14:paraId="47256ED5" w14:textId="77777777" w:rsidR="0042173E" w:rsidRPr="00C46090" w:rsidRDefault="0042173E" w:rsidP="0042173E">
      <w:pPr>
        <w:pStyle w:val="ListParagraph"/>
        <w:numPr>
          <w:ilvl w:val="0"/>
          <w:numId w:val="1"/>
        </w:numPr>
        <w:rPr>
          <w:rFonts w:asciiTheme="majorHAnsi" w:hAnsiTheme="majorHAnsi"/>
          <w:b/>
          <w:sz w:val="22"/>
          <w:szCs w:val="22"/>
        </w:rPr>
      </w:pPr>
      <w:r w:rsidRPr="00C46090">
        <w:rPr>
          <w:rFonts w:asciiTheme="majorHAnsi" w:hAnsiTheme="majorHAnsi"/>
          <w:b/>
          <w:i/>
          <w:sz w:val="22"/>
          <w:szCs w:val="22"/>
          <w:u w:val="single"/>
        </w:rPr>
        <w:t>Commonwealth of Pennsylvania v. Patrick Tighe</w:t>
      </w:r>
      <w:r w:rsidRPr="00C46090">
        <w:rPr>
          <w:rFonts w:asciiTheme="majorHAnsi" w:hAnsiTheme="majorHAnsi"/>
          <w:b/>
          <w:sz w:val="22"/>
          <w:szCs w:val="22"/>
        </w:rPr>
        <w:t xml:space="preserve"> (P</w:t>
      </w:r>
      <w:r>
        <w:rPr>
          <w:rFonts w:asciiTheme="majorHAnsi" w:hAnsiTheme="majorHAnsi"/>
          <w:b/>
          <w:sz w:val="22"/>
          <w:szCs w:val="22"/>
        </w:rPr>
        <w:t>ennsylvania</w:t>
      </w:r>
      <w:r w:rsidRPr="00C46090">
        <w:rPr>
          <w:rFonts w:asciiTheme="majorHAnsi" w:hAnsiTheme="majorHAnsi"/>
          <w:b/>
          <w:sz w:val="22"/>
          <w:szCs w:val="22"/>
        </w:rPr>
        <w:t xml:space="preserve"> Supreme Court), filed 2/25/19</w:t>
      </w:r>
    </w:p>
    <w:p w14:paraId="0219CB42" w14:textId="77777777" w:rsidR="0042173E" w:rsidRPr="00C46090" w:rsidRDefault="0042173E" w:rsidP="0042173E">
      <w:pPr>
        <w:rPr>
          <w:rFonts w:asciiTheme="majorHAnsi" w:hAnsiTheme="majorHAnsi"/>
          <w:b/>
          <w:i/>
          <w:sz w:val="22"/>
          <w:szCs w:val="22"/>
        </w:rPr>
      </w:pPr>
      <w:r w:rsidRPr="00C46090">
        <w:rPr>
          <w:rFonts w:asciiTheme="majorHAnsi" w:hAnsiTheme="majorHAnsi"/>
          <w:b/>
          <w:i/>
          <w:sz w:val="22"/>
          <w:szCs w:val="22"/>
        </w:rPr>
        <w:t>Sexual Abuse</w:t>
      </w:r>
    </w:p>
    <w:p w14:paraId="32974957" w14:textId="77777777" w:rsidR="0042173E" w:rsidRPr="00C46090" w:rsidRDefault="0042173E" w:rsidP="0042173E">
      <w:pPr>
        <w:rPr>
          <w:rFonts w:asciiTheme="majorHAnsi" w:hAnsiTheme="majorHAnsi"/>
          <w:b/>
          <w:sz w:val="22"/>
          <w:szCs w:val="22"/>
        </w:rPr>
      </w:pPr>
      <w:r w:rsidRPr="00C46090">
        <w:rPr>
          <w:rFonts w:asciiTheme="majorHAnsi" w:hAnsiTheme="majorHAnsi"/>
          <w:b/>
          <w:sz w:val="22"/>
          <w:szCs w:val="22"/>
        </w:rPr>
        <w:t>Author: Women’s Law Project</w:t>
      </w:r>
    </w:p>
    <w:p w14:paraId="70E56872" w14:textId="77777777" w:rsidR="0042173E" w:rsidRPr="00C46090" w:rsidRDefault="0042173E" w:rsidP="0042173E">
      <w:pPr>
        <w:rPr>
          <w:rFonts w:asciiTheme="majorHAnsi" w:hAnsiTheme="majorHAnsi"/>
          <w:sz w:val="22"/>
          <w:szCs w:val="22"/>
        </w:rPr>
      </w:pPr>
    </w:p>
    <w:p w14:paraId="2BE4C617" w14:textId="3F3CB08F" w:rsidR="0042173E" w:rsidRDefault="0042173E" w:rsidP="0042173E">
      <w:pPr>
        <w:rPr>
          <w:rFonts w:asciiTheme="majorHAnsi" w:hAnsiTheme="majorHAnsi"/>
          <w:sz w:val="22"/>
          <w:szCs w:val="22"/>
        </w:rPr>
      </w:pPr>
      <w:r w:rsidRPr="00C46090">
        <w:rPr>
          <w:rFonts w:asciiTheme="majorHAnsi" w:hAnsiTheme="majorHAnsi"/>
          <w:sz w:val="22"/>
          <w:szCs w:val="22"/>
        </w:rPr>
        <w:t xml:space="preserve">The amicus brief asks the Court to affirm the Superior Court’s conviction of the defendant and the trial court’s decision to bar the </w:t>
      </w:r>
      <w:r w:rsidRPr="00C46090">
        <w:rPr>
          <w:rFonts w:asciiTheme="majorHAnsi" w:hAnsiTheme="majorHAnsi"/>
          <w:i/>
          <w:sz w:val="22"/>
          <w:szCs w:val="22"/>
        </w:rPr>
        <w:t xml:space="preserve">pro se </w:t>
      </w:r>
      <w:r w:rsidRPr="00C46090">
        <w:rPr>
          <w:rFonts w:asciiTheme="majorHAnsi" w:hAnsiTheme="majorHAnsi"/>
          <w:sz w:val="22"/>
          <w:szCs w:val="22"/>
        </w:rPr>
        <w:t xml:space="preserve">defendant from personally cross-examining the child who accused him of sexual violence. Amici argue that the trial court’s decision that defendant’s standby counsel </w:t>
      </w:r>
      <w:r w:rsidR="005125F2">
        <w:rPr>
          <w:rFonts w:asciiTheme="majorHAnsi" w:hAnsiTheme="majorHAnsi"/>
          <w:sz w:val="22"/>
          <w:szCs w:val="22"/>
        </w:rPr>
        <w:t xml:space="preserve">was required to </w:t>
      </w:r>
      <w:r w:rsidRPr="00C46090">
        <w:rPr>
          <w:rFonts w:asciiTheme="majorHAnsi" w:hAnsiTheme="majorHAnsi"/>
          <w:sz w:val="22"/>
          <w:szCs w:val="22"/>
        </w:rPr>
        <w:t xml:space="preserve">conduct cross-examination using questions formulated by the defendant was a proper use of judicial discretion for three reasons. First, amici point out that the Sixth Amendment right of self-representation is not absolute and that the Court, in </w:t>
      </w:r>
      <w:proofErr w:type="spellStart"/>
      <w:r w:rsidRPr="00C46090">
        <w:rPr>
          <w:rFonts w:asciiTheme="majorHAnsi" w:hAnsiTheme="majorHAnsi"/>
          <w:i/>
          <w:sz w:val="22"/>
          <w:szCs w:val="22"/>
        </w:rPr>
        <w:t>Faretta</w:t>
      </w:r>
      <w:proofErr w:type="spellEnd"/>
      <w:r w:rsidRPr="00C46090">
        <w:rPr>
          <w:rFonts w:asciiTheme="majorHAnsi" w:hAnsiTheme="majorHAnsi"/>
          <w:i/>
          <w:sz w:val="22"/>
          <w:szCs w:val="22"/>
        </w:rPr>
        <w:t xml:space="preserve"> v. California</w:t>
      </w:r>
      <w:r w:rsidRPr="00C46090">
        <w:rPr>
          <w:rFonts w:asciiTheme="majorHAnsi" w:hAnsiTheme="majorHAnsi"/>
          <w:sz w:val="22"/>
          <w:szCs w:val="22"/>
        </w:rPr>
        <w:t xml:space="preserve">, held that this right is not violated when standby counsel is appointed to </w:t>
      </w:r>
      <w:r>
        <w:rPr>
          <w:rFonts w:asciiTheme="majorHAnsi" w:hAnsiTheme="majorHAnsi"/>
          <w:sz w:val="22"/>
          <w:szCs w:val="22"/>
        </w:rPr>
        <w:t>maintain</w:t>
      </w:r>
      <w:r w:rsidRPr="00C46090">
        <w:rPr>
          <w:rFonts w:asciiTheme="majorHAnsi" w:hAnsiTheme="majorHAnsi"/>
          <w:sz w:val="22"/>
          <w:szCs w:val="22"/>
        </w:rPr>
        <w:t xml:space="preserve"> courtroom decorum and efficiency. Second, the </w:t>
      </w:r>
      <w:r>
        <w:rPr>
          <w:rFonts w:asciiTheme="majorHAnsi" w:hAnsiTheme="majorHAnsi"/>
          <w:sz w:val="22"/>
          <w:szCs w:val="22"/>
        </w:rPr>
        <w:t xml:space="preserve">brief argues that the </w:t>
      </w:r>
      <w:r w:rsidRPr="00C46090">
        <w:rPr>
          <w:rFonts w:asciiTheme="majorHAnsi" w:hAnsiTheme="majorHAnsi"/>
          <w:sz w:val="22"/>
          <w:szCs w:val="22"/>
        </w:rPr>
        <w:t xml:space="preserve">unsolicited participation of the standby counsel did not impact the jury’s perception of the defendant’s self-representation because it did not impede on the defendant’s ability to represent himself as he wished at trial; the defendant successfully argued several motions and standby counsel used all of his questions during cross-examination. Further, amici highlight that the Court properly instructed the jury in multiple contexts that the standby counsel was acting on behalf of the defendant and was appointed to </w:t>
      </w:r>
      <w:r w:rsidRPr="00C46090">
        <w:rPr>
          <w:rFonts w:asciiTheme="majorHAnsi" w:hAnsiTheme="majorHAnsi"/>
          <w:i/>
          <w:sz w:val="22"/>
          <w:szCs w:val="22"/>
        </w:rPr>
        <w:t>procedurally</w:t>
      </w:r>
      <w:r w:rsidRPr="00C46090">
        <w:rPr>
          <w:rFonts w:asciiTheme="majorHAnsi" w:hAnsiTheme="majorHAnsi"/>
          <w:sz w:val="22"/>
          <w:szCs w:val="22"/>
        </w:rPr>
        <w:t xml:space="preserve"> aid in the defendant’s right to represent himself. Third, amici emphasize that the trial court’s decision was appropriate because it would have likely result</w:t>
      </w:r>
      <w:r w:rsidR="00983E2B">
        <w:rPr>
          <w:rFonts w:asciiTheme="majorHAnsi" w:hAnsiTheme="majorHAnsi"/>
          <w:sz w:val="22"/>
          <w:szCs w:val="22"/>
        </w:rPr>
        <w:t>ed</w:t>
      </w:r>
      <w:r w:rsidRPr="00C46090">
        <w:rPr>
          <w:rFonts w:asciiTheme="majorHAnsi" w:hAnsiTheme="majorHAnsi"/>
          <w:sz w:val="22"/>
          <w:szCs w:val="22"/>
        </w:rPr>
        <w:t xml:space="preserve"> in emotional distress to the child. The brief further argues that precluding a defendant from cross-examining a survivor at trial should not be limited to cases involving sexual abuse of a child because emotional distress resulting from such questioning is not limited to child survivors of sexual abuse.</w:t>
      </w:r>
    </w:p>
    <w:p w14:paraId="029030C2" w14:textId="77777777" w:rsidR="0042173E" w:rsidRDefault="0042173E" w:rsidP="0042173E">
      <w:pPr>
        <w:rPr>
          <w:rFonts w:asciiTheme="majorHAnsi" w:hAnsiTheme="majorHAnsi"/>
          <w:sz w:val="22"/>
          <w:szCs w:val="22"/>
        </w:rPr>
      </w:pPr>
    </w:p>
    <w:p w14:paraId="174EDA9D" w14:textId="7DBF5BCE" w:rsidR="0042173E" w:rsidRPr="00C46090" w:rsidRDefault="0042173E" w:rsidP="00DB2555">
      <w:pPr>
        <w:rPr>
          <w:rFonts w:asciiTheme="majorHAnsi" w:hAnsiTheme="majorHAnsi"/>
          <w:sz w:val="22"/>
          <w:szCs w:val="22"/>
        </w:rPr>
      </w:pPr>
      <w:r>
        <w:rPr>
          <w:rFonts w:asciiTheme="majorHAnsi" w:hAnsiTheme="majorHAnsi"/>
          <w:sz w:val="22"/>
          <w:szCs w:val="22"/>
        </w:rPr>
        <w:t>Oral argument occurred May 14, 2019.</w:t>
      </w:r>
    </w:p>
    <w:p w14:paraId="453965F5" w14:textId="77777777" w:rsidR="006F361C" w:rsidRPr="00C46090" w:rsidRDefault="006F361C" w:rsidP="00DB2555">
      <w:pPr>
        <w:rPr>
          <w:rFonts w:asciiTheme="majorHAnsi" w:hAnsiTheme="majorHAnsi"/>
          <w:sz w:val="22"/>
          <w:szCs w:val="22"/>
        </w:rPr>
      </w:pPr>
    </w:p>
    <w:p w14:paraId="4609394E" w14:textId="04D645DF" w:rsidR="00DB2555" w:rsidRPr="00C46090" w:rsidRDefault="00DB2555" w:rsidP="0042173E">
      <w:pPr>
        <w:pStyle w:val="ListParagraph"/>
        <w:numPr>
          <w:ilvl w:val="0"/>
          <w:numId w:val="1"/>
        </w:numPr>
        <w:rPr>
          <w:rFonts w:asciiTheme="majorHAnsi" w:hAnsiTheme="majorHAnsi"/>
          <w:b/>
          <w:sz w:val="22"/>
          <w:szCs w:val="22"/>
        </w:rPr>
      </w:pPr>
      <w:r w:rsidRPr="00C46090">
        <w:rPr>
          <w:rFonts w:asciiTheme="majorHAnsi" w:hAnsiTheme="majorHAnsi"/>
          <w:b/>
          <w:i/>
          <w:sz w:val="22"/>
          <w:szCs w:val="22"/>
          <w:u w:val="single"/>
        </w:rPr>
        <w:t>Drew Adams</w:t>
      </w:r>
      <w:r w:rsidR="00D21146" w:rsidRPr="00C46090">
        <w:rPr>
          <w:rFonts w:asciiTheme="majorHAnsi" w:hAnsiTheme="majorHAnsi"/>
          <w:b/>
          <w:sz w:val="22"/>
          <w:szCs w:val="22"/>
          <w:u w:val="single"/>
        </w:rPr>
        <w:t xml:space="preserve"> </w:t>
      </w:r>
      <w:r w:rsidRPr="00C46090">
        <w:rPr>
          <w:rFonts w:asciiTheme="majorHAnsi" w:hAnsiTheme="majorHAnsi"/>
          <w:b/>
          <w:i/>
          <w:sz w:val="22"/>
          <w:szCs w:val="22"/>
          <w:u w:val="single"/>
        </w:rPr>
        <w:t xml:space="preserve">v. </w:t>
      </w:r>
      <w:r w:rsidR="00562EFA" w:rsidRPr="00C46090">
        <w:rPr>
          <w:rFonts w:asciiTheme="majorHAnsi" w:hAnsiTheme="majorHAnsi"/>
          <w:b/>
          <w:i/>
          <w:sz w:val="22"/>
          <w:szCs w:val="22"/>
          <w:u w:val="single"/>
        </w:rPr>
        <w:t>School Boa</w:t>
      </w:r>
      <w:r w:rsidR="002E4490" w:rsidRPr="00C46090">
        <w:rPr>
          <w:rFonts w:asciiTheme="majorHAnsi" w:hAnsiTheme="majorHAnsi"/>
          <w:b/>
          <w:i/>
          <w:sz w:val="22"/>
          <w:szCs w:val="22"/>
          <w:u w:val="single"/>
        </w:rPr>
        <w:t>rd of St. Johns County, Florida</w:t>
      </w:r>
      <w:r w:rsidR="00562EFA" w:rsidRPr="00C46090">
        <w:rPr>
          <w:rFonts w:asciiTheme="majorHAnsi" w:hAnsiTheme="majorHAnsi"/>
          <w:b/>
          <w:i/>
          <w:sz w:val="22"/>
          <w:szCs w:val="22"/>
          <w:u w:val="single"/>
        </w:rPr>
        <w:t>, et. al.</w:t>
      </w:r>
      <w:r w:rsidRPr="00C46090">
        <w:rPr>
          <w:rFonts w:asciiTheme="majorHAnsi" w:hAnsiTheme="majorHAnsi"/>
          <w:b/>
          <w:sz w:val="22"/>
          <w:szCs w:val="22"/>
        </w:rPr>
        <w:t xml:space="preserve"> (</w:t>
      </w:r>
      <w:r w:rsidR="00D21146" w:rsidRPr="00C46090">
        <w:rPr>
          <w:rFonts w:asciiTheme="majorHAnsi" w:hAnsiTheme="majorHAnsi"/>
          <w:b/>
          <w:sz w:val="22"/>
          <w:szCs w:val="22"/>
        </w:rPr>
        <w:t>Eleventh Circuit</w:t>
      </w:r>
      <w:r w:rsidRPr="00C46090">
        <w:rPr>
          <w:rFonts w:asciiTheme="majorHAnsi" w:hAnsiTheme="majorHAnsi"/>
          <w:b/>
          <w:sz w:val="22"/>
          <w:szCs w:val="22"/>
        </w:rPr>
        <w:t xml:space="preserve">), filed </w:t>
      </w:r>
      <w:r w:rsidR="00B94557" w:rsidRPr="00C46090">
        <w:rPr>
          <w:rFonts w:asciiTheme="majorHAnsi" w:hAnsiTheme="majorHAnsi"/>
          <w:b/>
          <w:sz w:val="22"/>
          <w:szCs w:val="22"/>
        </w:rPr>
        <w:t>2/28/19</w:t>
      </w:r>
    </w:p>
    <w:p w14:paraId="6AE832E2" w14:textId="77777777" w:rsidR="006F361C" w:rsidRPr="00C46090" w:rsidRDefault="00A32B33" w:rsidP="006F361C">
      <w:pPr>
        <w:rPr>
          <w:rFonts w:asciiTheme="majorHAnsi" w:hAnsiTheme="majorHAnsi"/>
          <w:b/>
          <w:i/>
          <w:sz w:val="22"/>
          <w:szCs w:val="22"/>
        </w:rPr>
      </w:pPr>
      <w:r w:rsidRPr="00C46090">
        <w:rPr>
          <w:rFonts w:asciiTheme="majorHAnsi" w:hAnsiTheme="majorHAnsi"/>
          <w:b/>
          <w:i/>
          <w:sz w:val="22"/>
          <w:szCs w:val="22"/>
        </w:rPr>
        <w:t>Sexual Orientation</w:t>
      </w:r>
      <w:r w:rsidR="004D1BA6" w:rsidRPr="00C46090">
        <w:rPr>
          <w:rFonts w:asciiTheme="majorHAnsi" w:hAnsiTheme="majorHAnsi"/>
          <w:b/>
          <w:i/>
          <w:sz w:val="22"/>
          <w:szCs w:val="22"/>
        </w:rPr>
        <w:t xml:space="preserve"> Discrimination</w:t>
      </w:r>
    </w:p>
    <w:p w14:paraId="68F5083A" w14:textId="77777777" w:rsidR="004D1BA6" w:rsidRPr="00C46090" w:rsidRDefault="006F361C" w:rsidP="006F361C">
      <w:pPr>
        <w:rPr>
          <w:rFonts w:asciiTheme="majorHAnsi" w:hAnsiTheme="majorHAnsi"/>
          <w:b/>
          <w:sz w:val="22"/>
          <w:szCs w:val="22"/>
        </w:rPr>
      </w:pPr>
      <w:r w:rsidRPr="00C46090">
        <w:rPr>
          <w:rFonts w:asciiTheme="majorHAnsi" w:hAnsiTheme="majorHAnsi"/>
          <w:b/>
          <w:sz w:val="22"/>
          <w:szCs w:val="22"/>
        </w:rPr>
        <w:t>Author: National Women’s Law Center</w:t>
      </w:r>
    </w:p>
    <w:p w14:paraId="1B498A4A" w14:textId="77E3645A" w:rsidR="004D1BA6" w:rsidRPr="00C46090" w:rsidRDefault="004D1BA6" w:rsidP="006F361C">
      <w:pPr>
        <w:rPr>
          <w:rFonts w:asciiTheme="majorHAnsi" w:hAnsiTheme="majorHAnsi"/>
          <w:sz w:val="22"/>
          <w:szCs w:val="22"/>
        </w:rPr>
      </w:pPr>
    </w:p>
    <w:p w14:paraId="2F1890B5" w14:textId="3E9EB59D" w:rsidR="00562EDB" w:rsidRDefault="00562EDB" w:rsidP="00562EDB">
      <w:pPr>
        <w:rPr>
          <w:rFonts w:asciiTheme="majorHAnsi" w:hAnsiTheme="majorHAnsi"/>
          <w:color w:val="000000" w:themeColor="text1"/>
          <w:sz w:val="22"/>
          <w:szCs w:val="22"/>
        </w:rPr>
      </w:pPr>
      <w:r w:rsidRPr="00C46090">
        <w:rPr>
          <w:rFonts w:asciiTheme="majorHAnsi" w:hAnsiTheme="majorHAnsi"/>
          <w:sz w:val="22"/>
          <w:szCs w:val="22"/>
        </w:rPr>
        <w:t>The amicus brief ask</w:t>
      </w:r>
      <w:r w:rsidR="00C16411" w:rsidRPr="00C46090">
        <w:rPr>
          <w:rFonts w:asciiTheme="majorHAnsi" w:hAnsiTheme="majorHAnsi"/>
          <w:sz w:val="22"/>
          <w:szCs w:val="22"/>
        </w:rPr>
        <w:t>s</w:t>
      </w:r>
      <w:r w:rsidRPr="00C46090">
        <w:rPr>
          <w:rFonts w:asciiTheme="majorHAnsi" w:hAnsiTheme="majorHAnsi"/>
          <w:sz w:val="22"/>
          <w:szCs w:val="22"/>
        </w:rPr>
        <w:t xml:space="preserve"> the court to affirm the district court’s holding that the </w:t>
      </w:r>
      <w:r w:rsidR="002E408A">
        <w:rPr>
          <w:rFonts w:asciiTheme="majorHAnsi" w:hAnsiTheme="majorHAnsi"/>
          <w:sz w:val="22"/>
          <w:szCs w:val="22"/>
        </w:rPr>
        <w:t>the d</w:t>
      </w:r>
      <w:r w:rsidRPr="00C46090">
        <w:rPr>
          <w:rFonts w:asciiTheme="majorHAnsi" w:hAnsiTheme="majorHAnsi"/>
          <w:sz w:val="22"/>
          <w:szCs w:val="22"/>
        </w:rPr>
        <w:t xml:space="preserve">efendant’s </w:t>
      </w:r>
      <w:r w:rsidR="002E408A">
        <w:rPr>
          <w:rFonts w:asciiTheme="majorHAnsi" w:hAnsiTheme="majorHAnsi"/>
          <w:sz w:val="22"/>
          <w:szCs w:val="22"/>
        </w:rPr>
        <w:t>p</w:t>
      </w:r>
      <w:r w:rsidRPr="00C46090">
        <w:rPr>
          <w:rFonts w:asciiTheme="majorHAnsi" w:hAnsiTheme="majorHAnsi"/>
          <w:sz w:val="22"/>
          <w:szCs w:val="22"/>
        </w:rPr>
        <w:t xml:space="preserve">olicy, </w:t>
      </w:r>
      <w:r w:rsidR="003C3DCA">
        <w:rPr>
          <w:rFonts w:asciiTheme="majorHAnsi" w:hAnsiTheme="majorHAnsi"/>
          <w:sz w:val="22"/>
          <w:szCs w:val="22"/>
        </w:rPr>
        <w:t xml:space="preserve">which </w:t>
      </w:r>
      <w:r w:rsidR="00C16411" w:rsidRPr="00C46090">
        <w:rPr>
          <w:rFonts w:asciiTheme="majorHAnsi" w:hAnsiTheme="majorHAnsi"/>
          <w:sz w:val="22"/>
          <w:szCs w:val="22"/>
        </w:rPr>
        <w:t>barr</w:t>
      </w:r>
      <w:r w:rsidR="003C3DCA">
        <w:rPr>
          <w:rFonts w:asciiTheme="majorHAnsi" w:hAnsiTheme="majorHAnsi"/>
          <w:sz w:val="22"/>
          <w:szCs w:val="22"/>
        </w:rPr>
        <w:t>ed</w:t>
      </w:r>
      <w:r w:rsidR="00C16411" w:rsidRPr="00C46090">
        <w:rPr>
          <w:rFonts w:asciiTheme="majorHAnsi" w:hAnsiTheme="majorHAnsi"/>
          <w:sz w:val="22"/>
          <w:szCs w:val="22"/>
        </w:rPr>
        <w:t xml:space="preserve"> the plaintiff </w:t>
      </w:r>
      <w:r w:rsidR="002E408A">
        <w:rPr>
          <w:rFonts w:asciiTheme="majorHAnsi" w:hAnsiTheme="majorHAnsi"/>
          <w:sz w:val="22"/>
          <w:szCs w:val="22"/>
        </w:rPr>
        <w:t>from</w:t>
      </w:r>
      <w:r w:rsidR="00C16411" w:rsidRPr="00C46090">
        <w:rPr>
          <w:rFonts w:asciiTheme="majorHAnsi" w:hAnsiTheme="majorHAnsi"/>
          <w:sz w:val="22"/>
          <w:szCs w:val="22"/>
        </w:rPr>
        <w:t xml:space="preserve"> using the </w:t>
      </w:r>
      <w:r w:rsidR="003C3DCA">
        <w:rPr>
          <w:rFonts w:asciiTheme="majorHAnsi" w:hAnsiTheme="majorHAnsi"/>
          <w:sz w:val="22"/>
          <w:szCs w:val="22"/>
        </w:rPr>
        <w:t>boys’</w:t>
      </w:r>
      <w:r w:rsidR="00C16411" w:rsidRPr="00C46090">
        <w:rPr>
          <w:rFonts w:asciiTheme="majorHAnsi" w:hAnsiTheme="majorHAnsi"/>
          <w:sz w:val="22"/>
          <w:szCs w:val="22"/>
        </w:rPr>
        <w:t xml:space="preserve"> restrooms</w:t>
      </w:r>
      <w:r w:rsidR="003C3DCA">
        <w:rPr>
          <w:rFonts w:asciiTheme="majorHAnsi" w:hAnsiTheme="majorHAnsi"/>
          <w:sz w:val="22"/>
          <w:szCs w:val="22"/>
        </w:rPr>
        <w:t xml:space="preserve"> </w:t>
      </w:r>
      <w:r w:rsidR="00C16411" w:rsidRPr="00C46090">
        <w:rPr>
          <w:rFonts w:asciiTheme="majorHAnsi" w:hAnsiTheme="majorHAnsi"/>
          <w:sz w:val="22"/>
          <w:szCs w:val="22"/>
        </w:rPr>
        <w:t>because he is transgender</w:t>
      </w:r>
      <w:r w:rsidR="00107D48" w:rsidRPr="00C46090">
        <w:rPr>
          <w:rFonts w:asciiTheme="majorHAnsi" w:hAnsiTheme="majorHAnsi"/>
          <w:sz w:val="22"/>
          <w:szCs w:val="22"/>
        </w:rPr>
        <w:t xml:space="preserve">, </w:t>
      </w:r>
      <w:r w:rsidRPr="00C46090">
        <w:rPr>
          <w:rFonts w:asciiTheme="majorHAnsi" w:hAnsiTheme="majorHAnsi"/>
          <w:color w:val="000000" w:themeColor="text1"/>
          <w:sz w:val="22"/>
          <w:szCs w:val="22"/>
        </w:rPr>
        <w:t>violates the Constitution’s Equal Protection Clause and Title IX</w:t>
      </w:r>
      <w:r w:rsidRPr="00C46090">
        <w:rPr>
          <w:rFonts w:asciiTheme="majorHAnsi" w:hAnsiTheme="majorHAnsi"/>
          <w:i/>
          <w:color w:val="000000" w:themeColor="text1"/>
          <w:sz w:val="22"/>
          <w:szCs w:val="22"/>
        </w:rPr>
        <w:t xml:space="preserve">. </w:t>
      </w:r>
      <w:r w:rsidR="00C16411" w:rsidRPr="00C46090">
        <w:rPr>
          <w:rFonts w:asciiTheme="majorHAnsi" w:hAnsiTheme="majorHAnsi"/>
          <w:color w:val="000000" w:themeColor="text1"/>
          <w:sz w:val="22"/>
          <w:szCs w:val="22"/>
        </w:rPr>
        <w:t>Amici argue that discrimination against transgender individuals</w:t>
      </w:r>
      <w:r w:rsidR="003C3DCA">
        <w:rPr>
          <w:rFonts w:asciiTheme="majorHAnsi" w:hAnsiTheme="majorHAnsi"/>
          <w:color w:val="000000" w:themeColor="text1"/>
          <w:sz w:val="22"/>
          <w:szCs w:val="22"/>
        </w:rPr>
        <w:t xml:space="preserve"> either</w:t>
      </w:r>
      <w:r w:rsidR="00C16411" w:rsidRPr="00C46090">
        <w:rPr>
          <w:rFonts w:asciiTheme="majorHAnsi" w:hAnsiTheme="majorHAnsi"/>
          <w:color w:val="000000" w:themeColor="text1"/>
          <w:sz w:val="22"/>
          <w:szCs w:val="22"/>
        </w:rPr>
        <w:t xml:space="preserve"> </w:t>
      </w:r>
      <w:r w:rsidR="0036499C" w:rsidRPr="00C46090">
        <w:rPr>
          <w:rFonts w:asciiTheme="majorHAnsi" w:hAnsiTheme="majorHAnsi"/>
          <w:color w:val="000000" w:themeColor="text1"/>
          <w:sz w:val="22"/>
          <w:szCs w:val="22"/>
        </w:rPr>
        <w:t>in itself</w:t>
      </w:r>
      <w:r w:rsidR="00C16411" w:rsidRPr="00C46090">
        <w:rPr>
          <w:rFonts w:asciiTheme="majorHAnsi" w:hAnsiTheme="majorHAnsi"/>
          <w:color w:val="000000" w:themeColor="text1"/>
          <w:sz w:val="22"/>
          <w:szCs w:val="22"/>
        </w:rPr>
        <w:t xml:space="preserve"> </w:t>
      </w:r>
      <w:r w:rsidR="00107D48" w:rsidRPr="00C46090">
        <w:rPr>
          <w:rFonts w:asciiTheme="majorHAnsi" w:hAnsiTheme="majorHAnsi"/>
          <w:color w:val="000000" w:themeColor="text1"/>
          <w:sz w:val="22"/>
          <w:szCs w:val="22"/>
        </w:rPr>
        <w:t>or</w:t>
      </w:r>
      <w:r w:rsidR="00C16411" w:rsidRPr="00C46090">
        <w:rPr>
          <w:rFonts w:asciiTheme="majorHAnsi" w:hAnsiTheme="majorHAnsi"/>
          <w:color w:val="000000" w:themeColor="text1"/>
          <w:sz w:val="22"/>
          <w:szCs w:val="22"/>
        </w:rPr>
        <w:t xml:space="preserve"> on the basis of nonconformity to sex stereotypes</w:t>
      </w:r>
      <w:r w:rsidR="00107D48" w:rsidRPr="00C46090">
        <w:rPr>
          <w:rFonts w:asciiTheme="majorHAnsi" w:hAnsiTheme="majorHAnsi"/>
          <w:color w:val="000000" w:themeColor="text1"/>
          <w:sz w:val="22"/>
          <w:szCs w:val="22"/>
        </w:rPr>
        <w:t xml:space="preserve"> </w:t>
      </w:r>
      <w:r w:rsidR="00C16411" w:rsidRPr="00C46090">
        <w:rPr>
          <w:rFonts w:asciiTheme="majorHAnsi" w:hAnsiTheme="majorHAnsi"/>
          <w:color w:val="000000" w:themeColor="text1"/>
          <w:sz w:val="22"/>
          <w:szCs w:val="22"/>
        </w:rPr>
        <w:t>constitute</w:t>
      </w:r>
      <w:r w:rsidR="002E408A">
        <w:rPr>
          <w:rFonts w:asciiTheme="majorHAnsi" w:hAnsiTheme="majorHAnsi"/>
          <w:color w:val="000000" w:themeColor="text1"/>
          <w:sz w:val="22"/>
          <w:szCs w:val="22"/>
        </w:rPr>
        <w:t>s</w:t>
      </w:r>
      <w:r w:rsidR="00C16411" w:rsidRPr="00C46090">
        <w:rPr>
          <w:rFonts w:asciiTheme="majorHAnsi" w:hAnsiTheme="majorHAnsi"/>
          <w:color w:val="000000" w:themeColor="text1"/>
          <w:sz w:val="22"/>
          <w:szCs w:val="22"/>
        </w:rPr>
        <w:t xml:space="preserve"> sex discrimination</w:t>
      </w:r>
      <w:r w:rsidR="002E408A">
        <w:rPr>
          <w:rFonts w:asciiTheme="majorHAnsi" w:hAnsiTheme="majorHAnsi"/>
          <w:color w:val="000000" w:themeColor="text1"/>
          <w:sz w:val="22"/>
          <w:szCs w:val="22"/>
        </w:rPr>
        <w:t xml:space="preserve">. </w:t>
      </w:r>
      <w:r w:rsidR="00531380" w:rsidRPr="00C46090">
        <w:rPr>
          <w:rFonts w:asciiTheme="majorHAnsi" w:hAnsiTheme="majorHAnsi"/>
          <w:color w:val="000000" w:themeColor="text1"/>
          <w:sz w:val="22"/>
          <w:szCs w:val="22"/>
        </w:rPr>
        <w:t>It</w:t>
      </w:r>
      <w:r w:rsidR="0036499C" w:rsidRPr="00C46090">
        <w:rPr>
          <w:rFonts w:asciiTheme="majorHAnsi" w:hAnsiTheme="majorHAnsi"/>
          <w:color w:val="000000" w:themeColor="text1"/>
          <w:sz w:val="22"/>
          <w:szCs w:val="22"/>
        </w:rPr>
        <w:t xml:space="preserve"> argues that</w:t>
      </w:r>
      <w:r w:rsidR="00107D48" w:rsidRPr="00C46090">
        <w:rPr>
          <w:rFonts w:asciiTheme="majorHAnsi" w:hAnsiTheme="majorHAnsi"/>
          <w:color w:val="000000" w:themeColor="text1"/>
          <w:sz w:val="22"/>
          <w:szCs w:val="22"/>
        </w:rPr>
        <w:t xml:space="preserve"> Title IX’s goal of eradicating </w:t>
      </w:r>
      <w:r w:rsidR="00107D48" w:rsidRPr="00C46090">
        <w:rPr>
          <w:rFonts w:asciiTheme="majorHAnsi" w:hAnsiTheme="majorHAnsi"/>
          <w:i/>
          <w:color w:val="000000" w:themeColor="text1"/>
          <w:sz w:val="22"/>
          <w:szCs w:val="22"/>
        </w:rPr>
        <w:t xml:space="preserve">all </w:t>
      </w:r>
      <w:r w:rsidR="00107D48" w:rsidRPr="00C46090">
        <w:rPr>
          <w:rFonts w:asciiTheme="majorHAnsi" w:hAnsiTheme="majorHAnsi"/>
          <w:color w:val="000000" w:themeColor="text1"/>
          <w:sz w:val="22"/>
          <w:szCs w:val="22"/>
        </w:rPr>
        <w:t>forms of insidious gender discrimination in educational programs can only be reached</w:t>
      </w:r>
      <w:r w:rsidR="002E408A">
        <w:rPr>
          <w:rFonts w:asciiTheme="majorHAnsi" w:hAnsiTheme="majorHAnsi"/>
          <w:color w:val="000000" w:themeColor="text1"/>
          <w:sz w:val="22"/>
          <w:szCs w:val="22"/>
        </w:rPr>
        <w:t xml:space="preserve"> by</w:t>
      </w:r>
      <w:r w:rsidR="00107D48" w:rsidRPr="00C46090">
        <w:rPr>
          <w:rFonts w:asciiTheme="majorHAnsi" w:hAnsiTheme="majorHAnsi"/>
          <w:color w:val="000000" w:themeColor="text1"/>
          <w:sz w:val="22"/>
          <w:szCs w:val="22"/>
        </w:rPr>
        <w:t xml:space="preserve"> </w:t>
      </w:r>
      <w:r w:rsidR="00C46090">
        <w:rPr>
          <w:rFonts w:asciiTheme="majorHAnsi" w:hAnsiTheme="majorHAnsi"/>
          <w:color w:val="000000" w:themeColor="text1"/>
          <w:sz w:val="22"/>
          <w:szCs w:val="22"/>
        </w:rPr>
        <w:t>including</w:t>
      </w:r>
      <w:r w:rsidR="0036499C" w:rsidRPr="00C46090">
        <w:rPr>
          <w:rFonts w:asciiTheme="majorHAnsi" w:hAnsiTheme="majorHAnsi"/>
          <w:color w:val="000000" w:themeColor="text1"/>
          <w:sz w:val="22"/>
          <w:szCs w:val="22"/>
        </w:rPr>
        <w:t xml:space="preserve"> </w:t>
      </w:r>
      <w:r w:rsidR="002E408A">
        <w:rPr>
          <w:rFonts w:asciiTheme="majorHAnsi" w:hAnsiTheme="majorHAnsi"/>
          <w:color w:val="000000" w:themeColor="text1"/>
          <w:sz w:val="22"/>
          <w:szCs w:val="22"/>
        </w:rPr>
        <w:t>protection</w:t>
      </w:r>
      <w:r w:rsidR="003C3DCA">
        <w:rPr>
          <w:rFonts w:asciiTheme="majorHAnsi" w:hAnsiTheme="majorHAnsi"/>
          <w:color w:val="000000" w:themeColor="text1"/>
          <w:sz w:val="22"/>
          <w:szCs w:val="22"/>
        </w:rPr>
        <w:t xml:space="preserve"> for</w:t>
      </w:r>
      <w:r w:rsidR="002E408A">
        <w:rPr>
          <w:rFonts w:asciiTheme="majorHAnsi" w:hAnsiTheme="majorHAnsi"/>
          <w:color w:val="000000" w:themeColor="text1"/>
          <w:sz w:val="22"/>
          <w:szCs w:val="22"/>
        </w:rPr>
        <w:t xml:space="preserve"> </w:t>
      </w:r>
      <w:r w:rsidR="0036499C" w:rsidRPr="00C46090">
        <w:rPr>
          <w:rFonts w:asciiTheme="majorHAnsi" w:hAnsiTheme="majorHAnsi"/>
          <w:color w:val="000000" w:themeColor="text1"/>
          <w:sz w:val="22"/>
          <w:szCs w:val="22"/>
        </w:rPr>
        <w:t>transgender</w:t>
      </w:r>
      <w:r w:rsidR="002E408A">
        <w:rPr>
          <w:rFonts w:asciiTheme="majorHAnsi" w:hAnsiTheme="majorHAnsi"/>
          <w:color w:val="000000" w:themeColor="text1"/>
          <w:sz w:val="22"/>
          <w:szCs w:val="22"/>
        </w:rPr>
        <w:t xml:space="preserve"> students</w:t>
      </w:r>
      <w:r w:rsidR="00107D48" w:rsidRPr="00C46090">
        <w:rPr>
          <w:rFonts w:asciiTheme="majorHAnsi" w:hAnsiTheme="majorHAnsi"/>
          <w:color w:val="000000" w:themeColor="text1"/>
          <w:sz w:val="22"/>
          <w:szCs w:val="22"/>
        </w:rPr>
        <w:t xml:space="preserve">, not just </w:t>
      </w:r>
      <w:r w:rsidR="00C46090">
        <w:rPr>
          <w:rFonts w:asciiTheme="majorHAnsi" w:hAnsiTheme="majorHAnsi"/>
          <w:color w:val="000000" w:themeColor="text1"/>
          <w:sz w:val="22"/>
          <w:szCs w:val="22"/>
        </w:rPr>
        <w:t>for</w:t>
      </w:r>
      <w:r w:rsidR="002E408A">
        <w:rPr>
          <w:rFonts w:asciiTheme="majorHAnsi" w:hAnsiTheme="majorHAnsi"/>
          <w:color w:val="000000" w:themeColor="text1"/>
          <w:sz w:val="22"/>
          <w:szCs w:val="22"/>
        </w:rPr>
        <w:t xml:space="preserve"> those biologically born female</w:t>
      </w:r>
      <w:r w:rsidR="00107D48" w:rsidRPr="00C46090">
        <w:rPr>
          <w:rFonts w:asciiTheme="majorHAnsi" w:hAnsiTheme="majorHAnsi"/>
          <w:color w:val="000000" w:themeColor="text1"/>
          <w:sz w:val="22"/>
          <w:szCs w:val="22"/>
        </w:rPr>
        <w:t>.</w:t>
      </w:r>
      <w:r w:rsidR="00531380" w:rsidRPr="00C46090">
        <w:rPr>
          <w:rFonts w:asciiTheme="majorHAnsi" w:hAnsiTheme="majorHAnsi"/>
          <w:color w:val="000000" w:themeColor="text1"/>
          <w:sz w:val="22"/>
          <w:szCs w:val="22"/>
        </w:rPr>
        <w:t xml:space="preserve"> The brief </w:t>
      </w:r>
      <w:r w:rsidR="00E93586" w:rsidRPr="00C46090">
        <w:rPr>
          <w:rFonts w:asciiTheme="majorHAnsi" w:hAnsiTheme="majorHAnsi"/>
          <w:color w:val="000000" w:themeColor="text1"/>
          <w:sz w:val="22"/>
          <w:szCs w:val="22"/>
        </w:rPr>
        <w:t xml:space="preserve">further </w:t>
      </w:r>
      <w:r w:rsidR="00107D48" w:rsidRPr="00C46090">
        <w:rPr>
          <w:rFonts w:asciiTheme="majorHAnsi" w:hAnsiTheme="majorHAnsi"/>
          <w:color w:val="000000" w:themeColor="text1"/>
          <w:sz w:val="22"/>
          <w:szCs w:val="22"/>
        </w:rPr>
        <w:t>emphasize</w:t>
      </w:r>
      <w:r w:rsidR="00475E9C">
        <w:rPr>
          <w:rFonts w:asciiTheme="majorHAnsi" w:hAnsiTheme="majorHAnsi"/>
          <w:color w:val="000000" w:themeColor="text1"/>
          <w:sz w:val="22"/>
          <w:szCs w:val="22"/>
        </w:rPr>
        <w:t>s</w:t>
      </w:r>
      <w:r w:rsidR="00E93586" w:rsidRPr="00C46090">
        <w:rPr>
          <w:rFonts w:asciiTheme="majorHAnsi" w:hAnsiTheme="majorHAnsi"/>
          <w:color w:val="000000" w:themeColor="text1"/>
          <w:sz w:val="22"/>
          <w:szCs w:val="22"/>
        </w:rPr>
        <w:t xml:space="preserve"> the need for</w:t>
      </w:r>
      <w:r w:rsidR="00531380" w:rsidRPr="00C46090">
        <w:rPr>
          <w:rFonts w:asciiTheme="majorHAnsi" w:hAnsiTheme="majorHAnsi"/>
          <w:color w:val="000000" w:themeColor="text1"/>
          <w:sz w:val="22"/>
          <w:szCs w:val="22"/>
        </w:rPr>
        <w:t xml:space="preserve"> </w:t>
      </w:r>
      <w:r w:rsidR="00100045" w:rsidRPr="00C46090">
        <w:rPr>
          <w:rFonts w:asciiTheme="majorHAnsi" w:hAnsiTheme="majorHAnsi"/>
          <w:color w:val="000000" w:themeColor="text1"/>
          <w:sz w:val="22"/>
          <w:szCs w:val="22"/>
        </w:rPr>
        <w:t>such protections</w:t>
      </w:r>
      <w:r w:rsidR="00E93586" w:rsidRPr="00C46090">
        <w:rPr>
          <w:rFonts w:asciiTheme="majorHAnsi" w:hAnsiTheme="majorHAnsi"/>
          <w:color w:val="000000" w:themeColor="text1"/>
          <w:sz w:val="22"/>
          <w:szCs w:val="22"/>
        </w:rPr>
        <w:t>, particularly in light of the physical and emotional harm transgender individuals</w:t>
      </w:r>
      <w:r w:rsidR="00100045" w:rsidRPr="00C46090">
        <w:rPr>
          <w:rFonts w:asciiTheme="majorHAnsi" w:hAnsiTheme="majorHAnsi"/>
          <w:color w:val="000000" w:themeColor="text1"/>
          <w:sz w:val="22"/>
          <w:szCs w:val="22"/>
        </w:rPr>
        <w:t>, such as the plaintiff here,</w:t>
      </w:r>
      <w:r w:rsidR="00E93586" w:rsidRPr="00C46090">
        <w:rPr>
          <w:rFonts w:asciiTheme="majorHAnsi" w:hAnsiTheme="majorHAnsi"/>
          <w:color w:val="000000" w:themeColor="text1"/>
          <w:sz w:val="22"/>
          <w:szCs w:val="22"/>
        </w:rPr>
        <w:t xml:space="preserve"> experience when excluded from restrooms that match their gender identity. </w:t>
      </w:r>
      <w:r w:rsidR="00100045" w:rsidRPr="00C46090">
        <w:rPr>
          <w:rFonts w:asciiTheme="majorHAnsi" w:hAnsiTheme="majorHAnsi"/>
          <w:color w:val="000000" w:themeColor="text1"/>
          <w:sz w:val="22"/>
          <w:szCs w:val="22"/>
        </w:rPr>
        <w:t>This</w:t>
      </w:r>
      <w:r w:rsidR="00E93586" w:rsidRPr="00C46090">
        <w:rPr>
          <w:rFonts w:asciiTheme="majorHAnsi" w:hAnsiTheme="majorHAnsi"/>
          <w:color w:val="000000" w:themeColor="text1"/>
          <w:sz w:val="22"/>
          <w:szCs w:val="22"/>
        </w:rPr>
        <w:t xml:space="preserve"> harm </w:t>
      </w:r>
      <w:r w:rsidR="00100045" w:rsidRPr="00C46090">
        <w:rPr>
          <w:rFonts w:asciiTheme="majorHAnsi" w:hAnsiTheme="majorHAnsi"/>
          <w:color w:val="000000" w:themeColor="text1"/>
          <w:sz w:val="22"/>
          <w:szCs w:val="22"/>
        </w:rPr>
        <w:t xml:space="preserve">can </w:t>
      </w:r>
      <w:r w:rsidR="00E93586" w:rsidRPr="00C46090">
        <w:rPr>
          <w:rFonts w:asciiTheme="majorHAnsi" w:hAnsiTheme="majorHAnsi"/>
          <w:color w:val="000000" w:themeColor="text1"/>
          <w:sz w:val="22"/>
          <w:szCs w:val="22"/>
        </w:rPr>
        <w:t xml:space="preserve">include alienation, humiliation, harassment, anxiety, depression, increased risk of suicide, and health risks, such as kidney </w:t>
      </w:r>
      <w:r w:rsidR="00E93586" w:rsidRPr="00C46090">
        <w:rPr>
          <w:rFonts w:asciiTheme="majorHAnsi" w:hAnsiTheme="majorHAnsi"/>
          <w:color w:val="000000" w:themeColor="text1"/>
          <w:sz w:val="22"/>
          <w:szCs w:val="22"/>
        </w:rPr>
        <w:lastRenderedPageBreak/>
        <w:t>damage and urinary tract infections, associated with transgender individual</w:t>
      </w:r>
      <w:r w:rsidR="00100045" w:rsidRPr="00C46090">
        <w:rPr>
          <w:rFonts w:asciiTheme="majorHAnsi" w:hAnsiTheme="majorHAnsi"/>
          <w:color w:val="000000" w:themeColor="text1"/>
          <w:sz w:val="22"/>
          <w:szCs w:val="22"/>
        </w:rPr>
        <w:t>s</w:t>
      </w:r>
      <w:r w:rsidR="00E93586" w:rsidRPr="00C46090">
        <w:rPr>
          <w:rFonts w:asciiTheme="majorHAnsi" w:hAnsiTheme="majorHAnsi"/>
          <w:color w:val="000000" w:themeColor="text1"/>
          <w:sz w:val="22"/>
          <w:szCs w:val="22"/>
        </w:rPr>
        <w:t xml:space="preserve"> limiting fluid intake to minimize public bathroom usage.</w:t>
      </w:r>
      <w:r w:rsidR="00100045" w:rsidRPr="00C46090">
        <w:rPr>
          <w:rFonts w:asciiTheme="majorHAnsi" w:hAnsiTheme="majorHAnsi"/>
          <w:color w:val="000000" w:themeColor="text1"/>
          <w:sz w:val="22"/>
          <w:szCs w:val="22"/>
        </w:rPr>
        <w:t xml:space="preserve"> Finally, the brief argues that policies excluding transgender people from using bathrooms corresponding to their gender identity cannot be justified by a purpose of protecting the privacy and </w:t>
      </w:r>
      <w:r w:rsidR="00107D48" w:rsidRPr="00C46090">
        <w:rPr>
          <w:rFonts w:asciiTheme="majorHAnsi" w:hAnsiTheme="majorHAnsi"/>
          <w:color w:val="000000" w:themeColor="text1"/>
          <w:sz w:val="22"/>
          <w:szCs w:val="22"/>
        </w:rPr>
        <w:t xml:space="preserve">safety of </w:t>
      </w:r>
      <w:r w:rsidR="00100045" w:rsidRPr="00C46090">
        <w:rPr>
          <w:rFonts w:asciiTheme="majorHAnsi" w:hAnsiTheme="majorHAnsi"/>
          <w:color w:val="000000" w:themeColor="text1"/>
          <w:sz w:val="22"/>
          <w:szCs w:val="22"/>
        </w:rPr>
        <w:t>cisgender girls</w:t>
      </w:r>
      <w:r w:rsidR="00107D48" w:rsidRPr="00C46090">
        <w:rPr>
          <w:rFonts w:asciiTheme="majorHAnsi" w:hAnsiTheme="majorHAnsi"/>
          <w:color w:val="000000" w:themeColor="text1"/>
          <w:sz w:val="22"/>
          <w:szCs w:val="22"/>
        </w:rPr>
        <w:t xml:space="preserve">; </w:t>
      </w:r>
      <w:r w:rsidR="00100045" w:rsidRPr="00C46090">
        <w:rPr>
          <w:rFonts w:asciiTheme="majorHAnsi" w:hAnsiTheme="majorHAnsi"/>
          <w:color w:val="000000" w:themeColor="text1"/>
          <w:sz w:val="22"/>
          <w:szCs w:val="22"/>
        </w:rPr>
        <w:t xml:space="preserve">such policies designed to protect </w:t>
      </w:r>
      <w:r w:rsidR="00107D48" w:rsidRPr="00C46090">
        <w:rPr>
          <w:rFonts w:asciiTheme="majorHAnsi" w:hAnsiTheme="majorHAnsi"/>
          <w:color w:val="000000" w:themeColor="text1"/>
          <w:sz w:val="22"/>
          <w:szCs w:val="22"/>
        </w:rPr>
        <w:t xml:space="preserve">women </w:t>
      </w:r>
      <w:r w:rsidR="00100045" w:rsidRPr="00C46090">
        <w:rPr>
          <w:rFonts w:asciiTheme="majorHAnsi" w:hAnsiTheme="majorHAnsi"/>
          <w:color w:val="000000" w:themeColor="text1"/>
          <w:sz w:val="22"/>
          <w:szCs w:val="22"/>
        </w:rPr>
        <w:t xml:space="preserve">instead disadvantage women. Courts have </w:t>
      </w:r>
      <w:r w:rsidR="00D17E94" w:rsidRPr="00C46090">
        <w:rPr>
          <w:rFonts w:asciiTheme="majorHAnsi" w:hAnsiTheme="majorHAnsi"/>
          <w:color w:val="000000" w:themeColor="text1"/>
          <w:sz w:val="22"/>
          <w:szCs w:val="22"/>
        </w:rPr>
        <w:t>acknowledged</w:t>
      </w:r>
      <w:r w:rsidR="00100045" w:rsidRPr="00C46090">
        <w:rPr>
          <w:rFonts w:asciiTheme="majorHAnsi" w:hAnsiTheme="majorHAnsi"/>
          <w:color w:val="000000" w:themeColor="text1"/>
          <w:sz w:val="22"/>
          <w:szCs w:val="22"/>
        </w:rPr>
        <w:t xml:space="preserve"> that </w:t>
      </w:r>
      <w:r w:rsidR="00107D48" w:rsidRPr="00C46090">
        <w:rPr>
          <w:rFonts w:asciiTheme="majorHAnsi" w:hAnsiTheme="majorHAnsi"/>
          <w:color w:val="000000" w:themeColor="text1"/>
          <w:sz w:val="22"/>
          <w:szCs w:val="22"/>
        </w:rPr>
        <w:t>these</w:t>
      </w:r>
      <w:r w:rsidR="00100045" w:rsidRPr="00C46090">
        <w:rPr>
          <w:rFonts w:asciiTheme="majorHAnsi" w:hAnsiTheme="majorHAnsi"/>
          <w:color w:val="000000" w:themeColor="text1"/>
          <w:sz w:val="22"/>
          <w:szCs w:val="22"/>
        </w:rPr>
        <w:t xml:space="preserve"> defenses of exclusionary policies are based in harmful</w:t>
      </w:r>
      <w:r w:rsidR="00107D48" w:rsidRPr="00C46090">
        <w:rPr>
          <w:rFonts w:asciiTheme="majorHAnsi" w:hAnsiTheme="majorHAnsi"/>
          <w:color w:val="000000" w:themeColor="text1"/>
          <w:sz w:val="22"/>
          <w:szCs w:val="22"/>
        </w:rPr>
        <w:t>,</w:t>
      </w:r>
      <w:r w:rsidR="00100045" w:rsidRPr="00C46090">
        <w:rPr>
          <w:rFonts w:asciiTheme="majorHAnsi" w:hAnsiTheme="majorHAnsi"/>
          <w:color w:val="000000" w:themeColor="text1"/>
          <w:sz w:val="22"/>
          <w:szCs w:val="22"/>
        </w:rPr>
        <w:t xml:space="preserve"> unfounded fears and stereotypes</w:t>
      </w:r>
      <w:r w:rsidR="00BC50D2" w:rsidRPr="00C46090">
        <w:rPr>
          <w:rFonts w:asciiTheme="majorHAnsi" w:hAnsiTheme="majorHAnsi"/>
          <w:color w:val="000000" w:themeColor="text1"/>
          <w:sz w:val="22"/>
          <w:szCs w:val="22"/>
        </w:rPr>
        <w:t>. Accordingly,</w:t>
      </w:r>
      <w:r w:rsidR="00D17E94" w:rsidRPr="00C46090">
        <w:rPr>
          <w:rFonts w:asciiTheme="majorHAnsi" w:hAnsiTheme="majorHAnsi"/>
          <w:color w:val="000000" w:themeColor="text1"/>
          <w:sz w:val="22"/>
          <w:szCs w:val="22"/>
        </w:rPr>
        <w:t xml:space="preserve"> the Supreme Court has recognized that “protecting women” does not justify sex discrimination.</w:t>
      </w:r>
    </w:p>
    <w:p w14:paraId="13093497" w14:textId="6333382E" w:rsidR="002B3367" w:rsidRDefault="002B3367" w:rsidP="00562EDB">
      <w:pPr>
        <w:rPr>
          <w:rFonts w:asciiTheme="majorHAnsi" w:hAnsiTheme="majorHAnsi"/>
          <w:color w:val="000000" w:themeColor="text1"/>
          <w:sz w:val="22"/>
          <w:szCs w:val="22"/>
        </w:rPr>
      </w:pPr>
    </w:p>
    <w:p w14:paraId="3EFF26CF" w14:textId="5737728E" w:rsidR="002B3367" w:rsidRPr="00C46090" w:rsidRDefault="002B3367" w:rsidP="00562EDB">
      <w:pPr>
        <w:rPr>
          <w:rFonts w:asciiTheme="majorHAnsi" w:hAnsiTheme="majorHAnsi"/>
          <w:color w:val="000000" w:themeColor="text1"/>
          <w:sz w:val="22"/>
          <w:szCs w:val="22"/>
        </w:rPr>
      </w:pPr>
      <w:r>
        <w:rPr>
          <w:rFonts w:asciiTheme="majorHAnsi" w:hAnsiTheme="majorHAnsi"/>
          <w:color w:val="000000" w:themeColor="text1"/>
          <w:sz w:val="22"/>
          <w:szCs w:val="22"/>
        </w:rPr>
        <w:t xml:space="preserve">This case remains pending in the Eleventh Circuit. Oral argument is scheduled for December 5, 2019. </w:t>
      </w:r>
    </w:p>
    <w:p w14:paraId="6A18C87E" w14:textId="77777777" w:rsidR="00D15AF6" w:rsidRPr="00C46090" w:rsidRDefault="00D15AF6" w:rsidP="00A1419B">
      <w:pPr>
        <w:rPr>
          <w:rFonts w:asciiTheme="majorHAnsi" w:hAnsiTheme="majorHAnsi"/>
          <w:sz w:val="22"/>
          <w:szCs w:val="22"/>
        </w:rPr>
      </w:pPr>
    </w:p>
    <w:p w14:paraId="59A72B9E" w14:textId="06509739" w:rsidR="002E7248" w:rsidRPr="002E7248" w:rsidRDefault="002E7248" w:rsidP="0042173E">
      <w:pPr>
        <w:pStyle w:val="ListParagraph"/>
        <w:numPr>
          <w:ilvl w:val="0"/>
          <w:numId w:val="1"/>
        </w:numPr>
        <w:rPr>
          <w:rFonts w:asciiTheme="majorHAnsi" w:hAnsiTheme="majorHAnsi"/>
          <w:b/>
          <w:i/>
          <w:sz w:val="22"/>
          <w:szCs w:val="22"/>
          <w:u w:val="single"/>
        </w:rPr>
      </w:pPr>
      <w:r w:rsidRPr="002E7248">
        <w:rPr>
          <w:rFonts w:asciiTheme="majorHAnsi" w:hAnsiTheme="majorHAnsi"/>
          <w:b/>
          <w:i/>
          <w:sz w:val="22"/>
          <w:szCs w:val="22"/>
          <w:u w:val="single"/>
        </w:rPr>
        <w:t>Parents for Privacy v. Dallas School District, No. 2</w:t>
      </w:r>
      <w:r w:rsidR="00AA6233">
        <w:rPr>
          <w:rFonts w:asciiTheme="majorHAnsi" w:hAnsiTheme="majorHAnsi"/>
          <w:bCs/>
          <w:iCs/>
          <w:sz w:val="22"/>
          <w:szCs w:val="22"/>
        </w:rPr>
        <w:t xml:space="preserve"> </w:t>
      </w:r>
      <w:r w:rsidRPr="00AA6233">
        <w:rPr>
          <w:rFonts w:asciiTheme="majorHAnsi" w:hAnsiTheme="majorHAnsi"/>
          <w:b/>
          <w:i/>
          <w:sz w:val="22"/>
          <w:szCs w:val="22"/>
        </w:rPr>
        <w:t xml:space="preserve"> </w:t>
      </w:r>
      <w:r w:rsidRPr="00AA6233">
        <w:rPr>
          <w:rFonts w:asciiTheme="majorHAnsi" w:hAnsiTheme="majorHAnsi"/>
          <w:b/>
          <w:sz w:val="22"/>
          <w:szCs w:val="22"/>
        </w:rPr>
        <w:t xml:space="preserve">(Ninth </w:t>
      </w:r>
      <w:r>
        <w:rPr>
          <w:rFonts w:asciiTheme="majorHAnsi" w:hAnsiTheme="majorHAnsi"/>
          <w:b/>
          <w:sz w:val="22"/>
          <w:szCs w:val="22"/>
        </w:rPr>
        <w:t>Circuit) filed 3/8/19</w:t>
      </w:r>
    </w:p>
    <w:p w14:paraId="00882CEB" w14:textId="2CDF1CBC" w:rsidR="002E7248" w:rsidRDefault="002E7248" w:rsidP="00AA6233">
      <w:pPr>
        <w:rPr>
          <w:rFonts w:asciiTheme="majorHAnsi" w:hAnsiTheme="majorHAnsi"/>
          <w:b/>
          <w:i/>
          <w:sz w:val="22"/>
          <w:szCs w:val="22"/>
        </w:rPr>
      </w:pPr>
      <w:r>
        <w:rPr>
          <w:rFonts w:asciiTheme="majorHAnsi" w:hAnsiTheme="majorHAnsi"/>
          <w:b/>
          <w:i/>
          <w:sz w:val="22"/>
          <w:szCs w:val="22"/>
        </w:rPr>
        <w:t>Trans Rights</w:t>
      </w:r>
    </w:p>
    <w:p w14:paraId="065E210E" w14:textId="7D488FA7" w:rsidR="002E7248" w:rsidRDefault="002E7248" w:rsidP="00AA6233">
      <w:pPr>
        <w:rPr>
          <w:rFonts w:asciiTheme="majorHAnsi" w:hAnsiTheme="majorHAnsi"/>
          <w:b/>
          <w:sz w:val="22"/>
          <w:szCs w:val="22"/>
        </w:rPr>
      </w:pPr>
      <w:r>
        <w:rPr>
          <w:rFonts w:asciiTheme="majorHAnsi" w:hAnsiTheme="majorHAnsi"/>
          <w:b/>
          <w:sz w:val="22"/>
          <w:szCs w:val="22"/>
        </w:rPr>
        <w:t xml:space="preserve">Author: </w:t>
      </w:r>
      <w:r w:rsidR="002B3367">
        <w:rPr>
          <w:rFonts w:asciiTheme="majorHAnsi" w:hAnsiTheme="majorHAnsi"/>
          <w:b/>
          <w:sz w:val="22"/>
          <w:szCs w:val="22"/>
        </w:rPr>
        <w:t>N</w:t>
      </w:r>
      <w:r w:rsidR="00AA6233">
        <w:rPr>
          <w:rFonts w:asciiTheme="majorHAnsi" w:hAnsiTheme="majorHAnsi"/>
          <w:b/>
          <w:sz w:val="22"/>
          <w:szCs w:val="22"/>
        </w:rPr>
        <w:t>ational Women’s Law Center</w:t>
      </w:r>
    </w:p>
    <w:p w14:paraId="24058115" w14:textId="77777777" w:rsidR="002B3367" w:rsidRDefault="002B3367" w:rsidP="002B3367">
      <w:pPr>
        <w:rPr>
          <w:rFonts w:asciiTheme="majorHAnsi" w:hAnsiTheme="majorHAnsi"/>
          <w:sz w:val="22"/>
          <w:szCs w:val="22"/>
        </w:rPr>
      </w:pPr>
    </w:p>
    <w:p w14:paraId="2C7CE3FD" w14:textId="020EFEF7" w:rsidR="002E7248" w:rsidRDefault="002E7248" w:rsidP="002B3367">
      <w:pPr>
        <w:rPr>
          <w:rFonts w:asciiTheme="majorHAnsi" w:hAnsiTheme="majorHAnsi"/>
          <w:sz w:val="22"/>
          <w:szCs w:val="22"/>
        </w:rPr>
      </w:pPr>
      <w:r w:rsidRPr="002E7248">
        <w:rPr>
          <w:rFonts w:asciiTheme="majorHAnsi" w:hAnsiTheme="majorHAnsi"/>
          <w:sz w:val="22"/>
          <w:szCs w:val="22"/>
        </w:rPr>
        <w:t xml:space="preserve">This amicus brief urges the Court to reject </w:t>
      </w:r>
      <w:r w:rsidR="00475E9C">
        <w:rPr>
          <w:rFonts w:asciiTheme="majorHAnsi" w:hAnsiTheme="majorHAnsi"/>
          <w:sz w:val="22"/>
          <w:szCs w:val="22"/>
        </w:rPr>
        <w:t>the a</w:t>
      </w:r>
      <w:r w:rsidRPr="002E7248">
        <w:rPr>
          <w:rFonts w:asciiTheme="majorHAnsi" w:hAnsiTheme="majorHAnsi"/>
          <w:sz w:val="22"/>
          <w:szCs w:val="22"/>
        </w:rPr>
        <w:t xml:space="preserve">ppellant's conclusory arguments and affirm the district court's decision to dismiss the case. Amici urge </w:t>
      </w:r>
      <w:r w:rsidR="00CF1057">
        <w:rPr>
          <w:rFonts w:asciiTheme="majorHAnsi" w:hAnsiTheme="majorHAnsi"/>
          <w:sz w:val="22"/>
          <w:szCs w:val="22"/>
        </w:rPr>
        <w:t>the</w:t>
      </w:r>
      <w:r w:rsidRPr="002E7248">
        <w:rPr>
          <w:rFonts w:asciiTheme="majorHAnsi" w:hAnsiTheme="majorHAnsi"/>
          <w:sz w:val="22"/>
          <w:szCs w:val="22"/>
        </w:rPr>
        <w:t xml:space="preserve"> Court to affirm for the following reasons: (1) The mere presence of transgender students in a restroom does not create a hostile environment under Title IX or implicate a privacy concern under the U.S. Constitution; (2) Sex-based protections in federal civil rights laws and the U.S. Constitution include protections for transgender students, and banning them from using restrooms that comport with their gender identities constitutes impermissible sex-based discrimination; (3) Transgender students face documented harms when they are not permitted to use facilities that align with their gender identities; and (4) Appellants’ arguments against the Plan rest on the same brand of sex stereotyping historically used to justify sex discrimination, including in the context of racial segregation, and such arguments are rejected by courts today. Amici also argue in support of transgender students and the Student Safety Plan which permits transgender students to use restrooms and other facilities consistent with their gender identities.</w:t>
      </w:r>
      <w:bookmarkStart w:id="0" w:name="_GoBack"/>
      <w:bookmarkEnd w:id="0"/>
    </w:p>
    <w:p w14:paraId="16172AD5" w14:textId="11D2FCA8" w:rsidR="00301C6E" w:rsidRDefault="00301C6E" w:rsidP="002B3367">
      <w:pPr>
        <w:rPr>
          <w:rFonts w:asciiTheme="majorHAnsi" w:hAnsiTheme="majorHAnsi"/>
          <w:sz w:val="22"/>
          <w:szCs w:val="22"/>
        </w:rPr>
      </w:pPr>
    </w:p>
    <w:p w14:paraId="66337340" w14:textId="74A21C56" w:rsidR="00301C6E" w:rsidRDefault="00301C6E" w:rsidP="002B3367">
      <w:pPr>
        <w:rPr>
          <w:rFonts w:asciiTheme="majorHAnsi" w:hAnsiTheme="majorHAnsi"/>
          <w:sz w:val="22"/>
          <w:szCs w:val="22"/>
        </w:rPr>
      </w:pPr>
      <w:r>
        <w:rPr>
          <w:rFonts w:asciiTheme="majorHAnsi" w:hAnsiTheme="majorHAnsi"/>
          <w:sz w:val="22"/>
          <w:szCs w:val="22"/>
        </w:rPr>
        <w:t xml:space="preserve">Oral argument occurred July 11, 2019. </w:t>
      </w:r>
    </w:p>
    <w:p w14:paraId="6BF22FBB" w14:textId="77777777" w:rsidR="002E7248" w:rsidRPr="002E7248" w:rsidRDefault="002E7248" w:rsidP="00AA6233">
      <w:pPr>
        <w:rPr>
          <w:rFonts w:asciiTheme="majorHAnsi" w:hAnsiTheme="majorHAnsi"/>
          <w:sz w:val="22"/>
          <w:szCs w:val="22"/>
        </w:rPr>
      </w:pPr>
    </w:p>
    <w:p w14:paraId="53D0748C" w14:textId="26E3C387" w:rsidR="00D15AF6" w:rsidRPr="00C46090" w:rsidRDefault="00D15AF6" w:rsidP="0042173E">
      <w:pPr>
        <w:pStyle w:val="ListParagraph"/>
        <w:numPr>
          <w:ilvl w:val="0"/>
          <w:numId w:val="1"/>
        </w:numPr>
        <w:rPr>
          <w:rFonts w:asciiTheme="majorHAnsi" w:hAnsiTheme="majorHAnsi"/>
          <w:b/>
          <w:sz w:val="22"/>
          <w:szCs w:val="22"/>
        </w:rPr>
      </w:pPr>
      <w:r w:rsidRPr="00C46090">
        <w:rPr>
          <w:rFonts w:asciiTheme="majorHAnsi" w:hAnsiTheme="majorHAnsi"/>
          <w:b/>
          <w:i/>
          <w:sz w:val="22"/>
          <w:szCs w:val="22"/>
          <w:u w:val="single"/>
        </w:rPr>
        <w:t>N.T. v. H.T.</w:t>
      </w:r>
      <w:r w:rsidRPr="00C46090">
        <w:rPr>
          <w:rFonts w:asciiTheme="majorHAnsi" w:hAnsiTheme="majorHAnsi"/>
          <w:b/>
          <w:sz w:val="22"/>
          <w:szCs w:val="22"/>
        </w:rPr>
        <w:t xml:space="preserve"> (C</w:t>
      </w:r>
      <w:r w:rsidR="00AA6233">
        <w:rPr>
          <w:rFonts w:asciiTheme="majorHAnsi" w:hAnsiTheme="majorHAnsi"/>
          <w:b/>
          <w:sz w:val="22"/>
          <w:szCs w:val="22"/>
        </w:rPr>
        <w:t>alifornia</w:t>
      </w:r>
      <w:r w:rsidRPr="00C46090">
        <w:rPr>
          <w:rFonts w:asciiTheme="majorHAnsi" w:hAnsiTheme="majorHAnsi"/>
          <w:b/>
          <w:sz w:val="22"/>
          <w:szCs w:val="22"/>
        </w:rPr>
        <w:t xml:space="preserve"> </w:t>
      </w:r>
      <w:r w:rsidR="00337EE1" w:rsidRPr="00C46090">
        <w:rPr>
          <w:rFonts w:asciiTheme="majorHAnsi" w:hAnsiTheme="majorHAnsi"/>
          <w:b/>
          <w:sz w:val="22"/>
          <w:szCs w:val="22"/>
        </w:rPr>
        <w:t>Court of Appeal</w:t>
      </w:r>
      <w:r w:rsidRPr="00C46090">
        <w:rPr>
          <w:rFonts w:asciiTheme="majorHAnsi" w:hAnsiTheme="majorHAnsi"/>
          <w:b/>
          <w:sz w:val="22"/>
          <w:szCs w:val="22"/>
        </w:rPr>
        <w:t>)</w:t>
      </w:r>
      <w:r w:rsidR="00686903" w:rsidRPr="00C46090">
        <w:rPr>
          <w:rFonts w:asciiTheme="majorHAnsi" w:hAnsiTheme="majorHAnsi"/>
          <w:b/>
          <w:sz w:val="22"/>
          <w:szCs w:val="22"/>
        </w:rPr>
        <w:t>,</w:t>
      </w:r>
      <w:r w:rsidRPr="00C46090">
        <w:rPr>
          <w:rFonts w:asciiTheme="majorHAnsi" w:hAnsiTheme="majorHAnsi"/>
          <w:b/>
          <w:sz w:val="22"/>
          <w:szCs w:val="22"/>
        </w:rPr>
        <w:t xml:space="preserve"> filed</w:t>
      </w:r>
      <w:r w:rsidR="00E14B77" w:rsidRPr="00C46090">
        <w:rPr>
          <w:rFonts w:asciiTheme="majorHAnsi" w:hAnsiTheme="majorHAnsi"/>
          <w:b/>
          <w:sz w:val="22"/>
          <w:szCs w:val="22"/>
        </w:rPr>
        <w:t xml:space="preserve"> </w:t>
      </w:r>
      <w:r w:rsidR="00337EE1" w:rsidRPr="00C46090">
        <w:rPr>
          <w:rFonts w:asciiTheme="majorHAnsi" w:hAnsiTheme="majorHAnsi"/>
          <w:b/>
          <w:sz w:val="22"/>
          <w:szCs w:val="22"/>
        </w:rPr>
        <w:t>3</w:t>
      </w:r>
      <w:r w:rsidR="003E264D" w:rsidRPr="00C46090">
        <w:rPr>
          <w:rFonts w:asciiTheme="majorHAnsi" w:hAnsiTheme="majorHAnsi"/>
          <w:b/>
          <w:sz w:val="22"/>
          <w:szCs w:val="22"/>
        </w:rPr>
        <w:t>/</w:t>
      </w:r>
      <w:r w:rsidR="00337EE1" w:rsidRPr="00C46090">
        <w:rPr>
          <w:rFonts w:asciiTheme="majorHAnsi" w:hAnsiTheme="majorHAnsi"/>
          <w:b/>
          <w:sz w:val="22"/>
          <w:szCs w:val="22"/>
        </w:rPr>
        <w:t>26/19</w:t>
      </w:r>
    </w:p>
    <w:p w14:paraId="7F13F27A" w14:textId="77777777" w:rsidR="00D15AF6" w:rsidRPr="00C46090" w:rsidRDefault="00D15AF6" w:rsidP="00D15AF6">
      <w:pPr>
        <w:rPr>
          <w:rFonts w:asciiTheme="majorHAnsi" w:hAnsiTheme="majorHAnsi"/>
          <w:b/>
          <w:i/>
          <w:sz w:val="22"/>
          <w:szCs w:val="22"/>
        </w:rPr>
      </w:pPr>
      <w:r w:rsidRPr="00C46090">
        <w:rPr>
          <w:rFonts w:asciiTheme="majorHAnsi" w:hAnsiTheme="majorHAnsi"/>
          <w:b/>
          <w:i/>
          <w:sz w:val="22"/>
          <w:szCs w:val="22"/>
        </w:rPr>
        <w:t xml:space="preserve">Domestic Violence </w:t>
      </w:r>
    </w:p>
    <w:p w14:paraId="3B4A276F" w14:textId="26CACAF7" w:rsidR="00D15AF6" w:rsidRPr="00C46090" w:rsidRDefault="00D15AF6" w:rsidP="00D15AF6">
      <w:pPr>
        <w:rPr>
          <w:rFonts w:asciiTheme="majorHAnsi" w:hAnsiTheme="majorHAnsi"/>
          <w:b/>
          <w:sz w:val="22"/>
          <w:szCs w:val="22"/>
        </w:rPr>
      </w:pPr>
      <w:r w:rsidRPr="00C46090">
        <w:rPr>
          <w:rFonts w:asciiTheme="majorHAnsi" w:hAnsiTheme="majorHAnsi"/>
          <w:b/>
          <w:sz w:val="22"/>
          <w:szCs w:val="22"/>
        </w:rPr>
        <w:t>Author: Family Violence Appellate Project</w:t>
      </w:r>
    </w:p>
    <w:p w14:paraId="4CD92259" w14:textId="41078826" w:rsidR="00936A06" w:rsidRPr="00C46090" w:rsidRDefault="00936A06" w:rsidP="00D15AF6">
      <w:pPr>
        <w:rPr>
          <w:rFonts w:asciiTheme="majorHAnsi" w:hAnsiTheme="majorHAnsi"/>
          <w:sz w:val="22"/>
          <w:szCs w:val="22"/>
        </w:rPr>
      </w:pPr>
    </w:p>
    <w:p w14:paraId="28772C05" w14:textId="104CBB46" w:rsidR="00102F27" w:rsidRPr="00C46090" w:rsidRDefault="00685C08" w:rsidP="00D15AF6">
      <w:pPr>
        <w:rPr>
          <w:rFonts w:asciiTheme="majorHAnsi" w:hAnsiTheme="majorHAnsi"/>
          <w:color w:val="000000" w:themeColor="text1"/>
          <w:sz w:val="22"/>
          <w:szCs w:val="22"/>
        </w:rPr>
      </w:pPr>
      <w:r w:rsidRPr="00C46090">
        <w:rPr>
          <w:rFonts w:asciiTheme="majorHAnsi" w:hAnsiTheme="majorHAnsi"/>
          <w:sz w:val="22"/>
          <w:szCs w:val="22"/>
        </w:rPr>
        <w:t>The</w:t>
      </w:r>
      <w:r w:rsidR="00337EE1" w:rsidRPr="00C46090">
        <w:rPr>
          <w:rFonts w:asciiTheme="majorHAnsi" w:hAnsiTheme="majorHAnsi"/>
          <w:sz w:val="22"/>
          <w:szCs w:val="22"/>
        </w:rPr>
        <w:t xml:space="preserve"> amicus letter</w:t>
      </w:r>
      <w:r w:rsidRPr="00C46090">
        <w:rPr>
          <w:rFonts w:asciiTheme="majorHAnsi" w:hAnsiTheme="majorHAnsi"/>
          <w:sz w:val="22"/>
          <w:szCs w:val="22"/>
        </w:rPr>
        <w:t xml:space="preserve"> argues that publication </w:t>
      </w:r>
      <w:r w:rsidR="00337EE1" w:rsidRPr="00C46090">
        <w:rPr>
          <w:rFonts w:asciiTheme="majorHAnsi" w:hAnsiTheme="majorHAnsi"/>
          <w:sz w:val="22"/>
          <w:szCs w:val="22"/>
        </w:rPr>
        <w:t xml:space="preserve">of </w:t>
      </w:r>
      <w:r w:rsidR="00337EE1" w:rsidRPr="00C46090">
        <w:rPr>
          <w:rFonts w:asciiTheme="majorHAnsi" w:hAnsiTheme="majorHAnsi"/>
          <w:i/>
          <w:sz w:val="22"/>
          <w:szCs w:val="22"/>
        </w:rPr>
        <w:t xml:space="preserve">N.T. </w:t>
      </w:r>
      <w:r w:rsidRPr="00C46090">
        <w:rPr>
          <w:rFonts w:asciiTheme="majorHAnsi" w:hAnsiTheme="majorHAnsi"/>
          <w:sz w:val="22"/>
          <w:szCs w:val="22"/>
        </w:rPr>
        <w:t xml:space="preserve">is </w:t>
      </w:r>
      <w:r w:rsidR="00337EE1" w:rsidRPr="00C46090">
        <w:rPr>
          <w:rFonts w:asciiTheme="majorHAnsi" w:hAnsiTheme="majorHAnsi"/>
          <w:sz w:val="22"/>
          <w:szCs w:val="22"/>
        </w:rPr>
        <w:t>critical</w:t>
      </w:r>
      <w:r w:rsidRPr="00C46090">
        <w:rPr>
          <w:rFonts w:asciiTheme="majorHAnsi" w:hAnsiTheme="majorHAnsi"/>
          <w:sz w:val="22"/>
          <w:szCs w:val="22"/>
        </w:rPr>
        <w:t xml:space="preserve"> </w:t>
      </w:r>
      <w:r w:rsidR="008739D1" w:rsidRPr="00C46090">
        <w:rPr>
          <w:rFonts w:asciiTheme="majorHAnsi" w:hAnsiTheme="majorHAnsi"/>
          <w:sz w:val="22"/>
          <w:szCs w:val="22"/>
        </w:rPr>
        <w:t xml:space="preserve">because </w:t>
      </w:r>
      <w:r w:rsidRPr="00C46090">
        <w:rPr>
          <w:rFonts w:asciiTheme="majorHAnsi" w:hAnsiTheme="majorHAnsi"/>
          <w:sz w:val="22"/>
          <w:szCs w:val="22"/>
        </w:rPr>
        <w:t>the opinion is</w:t>
      </w:r>
      <w:r w:rsidR="008739D1" w:rsidRPr="00C46090">
        <w:rPr>
          <w:rFonts w:asciiTheme="majorHAnsi" w:hAnsiTheme="majorHAnsi"/>
          <w:sz w:val="22"/>
          <w:szCs w:val="22"/>
        </w:rPr>
        <w:t xml:space="preserve"> the first to directly address two legal issues concerning domestic violence restraining orders.</w:t>
      </w:r>
      <w:r w:rsidR="00620FD4" w:rsidRPr="00C46090">
        <w:rPr>
          <w:rFonts w:asciiTheme="majorHAnsi" w:hAnsiTheme="majorHAnsi"/>
          <w:sz w:val="22"/>
          <w:szCs w:val="22"/>
        </w:rPr>
        <w:t xml:space="preserve"> First, </w:t>
      </w:r>
      <w:r w:rsidR="00620FD4" w:rsidRPr="00C46090">
        <w:rPr>
          <w:rFonts w:asciiTheme="majorHAnsi" w:hAnsiTheme="majorHAnsi"/>
          <w:i/>
          <w:sz w:val="22"/>
          <w:szCs w:val="22"/>
        </w:rPr>
        <w:t>N.T.</w:t>
      </w:r>
      <w:r w:rsidR="00620FD4" w:rsidRPr="00C46090">
        <w:rPr>
          <w:rFonts w:asciiTheme="majorHAnsi" w:hAnsiTheme="majorHAnsi"/>
          <w:sz w:val="22"/>
          <w:szCs w:val="22"/>
        </w:rPr>
        <w:t xml:space="preserve"> would be the first published opinion to clarify that a violation of a Temporary Restraining Order (TRO) is abuse under the Domestic Violence Prevention Act, Family Code sections 6200 </w:t>
      </w:r>
      <w:r w:rsidR="00620FD4" w:rsidRPr="00C46090">
        <w:rPr>
          <w:rFonts w:asciiTheme="majorHAnsi" w:hAnsiTheme="majorHAnsi"/>
          <w:i/>
          <w:sz w:val="22"/>
          <w:szCs w:val="22"/>
        </w:rPr>
        <w:t xml:space="preserve">et. seq. </w:t>
      </w:r>
      <w:r w:rsidR="00337EE1" w:rsidRPr="00C46090">
        <w:rPr>
          <w:rFonts w:asciiTheme="majorHAnsi" w:hAnsiTheme="majorHAnsi"/>
          <w:sz w:val="22"/>
          <w:szCs w:val="22"/>
        </w:rPr>
        <w:t>Amici argue</w:t>
      </w:r>
      <w:r w:rsidR="00620FD4" w:rsidRPr="00C46090">
        <w:rPr>
          <w:rFonts w:asciiTheme="majorHAnsi" w:hAnsiTheme="majorHAnsi"/>
          <w:sz w:val="22"/>
          <w:szCs w:val="22"/>
        </w:rPr>
        <w:t xml:space="preserve"> that publication would resolve</w:t>
      </w:r>
      <w:r w:rsidR="00337EE1" w:rsidRPr="00C46090">
        <w:rPr>
          <w:rFonts w:asciiTheme="majorHAnsi" w:hAnsiTheme="majorHAnsi"/>
          <w:sz w:val="22"/>
          <w:szCs w:val="22"/>
        </w:rPr>
        <w:t xml:space="preserve"> the</w:t>
      </w:r>
      <w:r w:rsidR="00620FD4" w:rsidRPr="00C46090">
        <w:rPr>
          <w:rFonts w:asciiTheme="majorHAnsi" w:hAnsiTheme="majorHAnsi"/>
          <w:sz w:val="22"/>
          <w:szCs w:val="22"/>
        </w:rPr>
        <w:t xml:space="preserve"> lack of clarity among the bench and bar on this issue and universally apply an interpretation </w:t>
      </w:r>
      <w:r w:rsidR="00620FD4" w:rsidRPr="00C46090">
        <w:rPr>
          <w:rFonts w:asciiTheme="majorHAnsi" w:hAnsiTheme="majorHAnsi"/>
          <w:color w:val="000000" w:themeColor="text1"/>
          <w:sz w:val="22"/>
          <w:szCs w:val="22"/>
        </w:rPr>
        <w:t xml:space="preserve">that </w:t>
      </w:r>
      <w:r w:rsidR="00A05CC9" w:rsidRPr="00C46090">
        <w:rPr>
          <w:rFonts w:asciiTheme="majorHAnsi" w:hAnsiTheme="majorHAnsi"/>
          <w:color w:val="000000" w:themeColor="text1"/>
          <w:sz w:val="22"/>
          <w:szCs w:val="22"/>
        </w:rPr>
        <w:t>supports</w:t>
      </w:r>
      <w:r w:rsidR="00620FD4" w:rsidRPr="00C46090">
        <w:rPr>
          <w:rFonts w:asciiTheme="majorHAnsi" w:hAnsiTheme="majorHAnsi"/>
          <w:color w:val="000000" w:themeColor="text1"/>
          <w:sz w:val="22"/>
          <w:szCs w:val="22"/>
        </w:rPr>
        <w:t xml:space="preserve"> the safety and well-being of domestic abuse survivors.</w:t>
      </w:r>
      <w:r w:rsidR="00102F27" w:rsidRPr="00C46090">
        <w:rPr>
          <w:rFonts w:asciiTheme="majorHAnsi" w:hAnsiTheme="majorHAnsi"/>
          <w:color w:val="000000" w:themeColor="text1"/>
          <w:sz w:val="22"/>
          <w:szCs w:val="22"/>
        </w:rPr>
        <w:t xml:space="preserve"> Second, </w:t>
      </w:r>
      <w:r w:rsidR="00102F27" w:rsidRPr="00C46090">
        <w:rPr>
          <w:rFonts w:asciiTheme="majorHAnsi" w:hAnsiTheme="majorHAnsi"/>
          <w:i/>
          <w:color w:val="000000" w:themeColor="text1"/>
          <w:sz w:val="22"/>
          <w:szCs w:val="22"/>
        </w:rPr>
        <w:t xml:space="preserve">N.T. </w:t>
      </w:r>
      <w:r w:rsidR="00102F27" w:rsidRPr="00C46090">
        <w:rPr>
          <w:rFonts w:asciiTheme="majorHAnsi" w:hAnsiTheme="majorHAnsi"/>
          <w:color w:val="000000" w:themeColor="text1"/>
          <w:sz w:val="22"/>
          <w:szCs w:val="22"/>
        </w:rPr>
        <w:t xml:space="preserve">would be the first published opinion to interpret “disturbing the peace” under Family Code section 6320 to include threats </w:t>
      </w:r>
      <w:r w:rsidR="003256B0" w:rsidRPr="00C46090">
        <w:rPr>
          <w:rFonts w:asciiTheme="majorHAnsi" w:hAnsiTheme="majorHAnsi"/>
          <w:color w:val="000000" w:themeColor="text1"/>
          <w:sz w:val="22"/>
          <w:szCs w:val="22"/>
        </w:rPr>
        <w:t xml:space="preserve">regarding custody </w:t>
      </w:r>
      <w:r w:rsidR="00102F27" w:rsidRPr="00C46090">
        <w:rPr>
          <w:rFonts w:asciiTheme="majorHAnsi" w:hAnsiTheme="majorHAnsi"/>
          <w:color w:val="000000" w:themeColor="text1"/>
          <w:sz w:val="22"/>
          <w:szCs w:val="22"/>
        </w:rPr>
        <w:t xml:space="preserve">and </w:t>
      </w:r>
      <w:r w:rsidR="003256B0" w:rsidRPr="00C46090">
        <w:rPr>
          <w:rFonts w:asciiTheme="majorHAnsi" w:hAnsiTheme="majorHAnsi"/>
          <w:color w:val="000000" w:themeColor="text1"/>
          <w:sz w:val="22"/>
          <w:szCs w:val="22"/>
        </w:rPr>
        <w:t xml:space="preserve">using </w:t>
      </w:r>
      <w:r w:rsidR="00102F27" w:rsidRPr="00C46090">
        <w:rPr>
          <w:rFonts w:asciiTheme="majorHAnsi" w:hAnsiTheme="majorHAnsi"/>
          <w:color w:val="000000" w:themeColor="text1"/>
          <w:sz w:val="22"/>
          <w:szCs w:val="22"/>
        </w:rPr>
        <w:t xml:space="preserve">unwanted </w:t>
      </w:r>
      <w:r w:rsidR="003256B0" w:rsidRPr="00C46090">
        <w:rPr>
          <w:rFonts w:asciiTheme="majorHAnsi" w:hAnsiTheme="majorHAnsi"/>
          <w:color w:val="000000" w:themeColor="text1"/>
          <w:sz w:val="22"/>
          <w:szCs w:val="22"/>
        </w:rPr>
        <w:t>child visitations as means for seeking</w:t>
      </w:r>
      <w:r w:rsidR="00102F27" w:rsidRPr="00C46090">
        <w:rPr>
          <w:rFonts w:asciiTheme="majorHAnsi" w:hAnsiTheme="majorHAnsi"/>
          <w:color w:val="000000" w:themeColor="text1"/>
          <w:sz w:val="22"/>
          <w:szCs w:val="22"/>
        </w:rPr>
        <w:t xml:space="preserve"> reconciliation</w:t>
      </w:r>
      <w:r w:rsidR="003256B0" w:rsidRPr="00C46090">
        <w:rPr>
          <w:rFonts w:asciiTheme="majorHAnsi" w:hAnsiTheme="majorHAnsi"/>
          <w:color w:val="000000" w:themeColor="text1"/>
          <w:sz w:val="22"/>
          <w:szCs w:val="22"/>
        </w:rPr>
        <w:t xml:space="preserve">. </w:t>
      </w:r>
      <w:r w:rsidR="00A05CC9" w:rsidRPr="00C46090">
        <w:rPr>
          <w:rFonts w:asciiTheme="majorHAnsi" w:hAnsiTheme="majorHAnsi"/>
          <w:color w:val="000000" w:themeColor="text1"/>
          <w:sz w:val="22"/>
          <w:szCs w:val="22"/>
        </w:rPr>
        <w:t>Further, the letter emphasizes</w:t>
      </w:r>
      <w:r w:rsidR="003256B0" w:rsidRPr="00C46090">
        <w:rPr>
          <w:rFonts w:asciiTheme="majorHAnsi" w:hAnsiTheme="majorHAnsi"/>
          <w:color w:val="000000" w:themeColor="text1"/>
          <w:sz w:val="22"/>
          <w:szCs w:val="22"/>
        </w:rPr>
        <w:t xml:space="preserve"> that because the fact pattern in </w:t>
      </w:r>
      <w:r w:rsidR="003256B0" w:rsidRPr="00C46090">
        <w:rPr>
          <w:rFonts w:asciiTheme="majorHAnsi" w:hAnsiTheme="majorHAnsi"/>
          <w:i/>
          <w:color w:val="000000" w:themeColor="text1"/>
          <w:sz w:val="22"/>
          <w:szCs w:val="22"/>
        </w:rPr>
        <w:t>N.T.</w:t>
      </w:r>
      <w:r w:rsidR="003256B0" w:rsidRPr="00C46090">
        <w:rPr>
          <w:rFonts w:asciiTheme="majorHAnsi" w:hAnsiTheme="majorHAnsi"/>
          <w:color w:val="000000" w:themeColor="text1"/>
          <w:sz w:val="22"/>
          <w:szCs w:val="22"/>
        </w:rPr>
        <w:t xml:space="preserve"> is common for abusive relationships where the parents share a child in common, its publication would provide</w:t>
      </w:r>
      <w:r w:rsidR="00A05CC9" w:rsidRPr="00C46090">
        <w:rPr>
          <w:rFonts w:asciiTheme="majorHAnsi" w:hAnsiTheme="majorHAnsi"/>
          <w:color w:val="000000" w:themeColor="text1"/>
          <w:sz w:val="22"/>
          <w:szCs w:val="22"/>
        </w:rPr>
        <w:t xml:space="preserve"> prevalent,</w:t>
      </w:r>
      <w:r w:rsidR="003256B0" w:rsidRPr="00C46090">
        <w:rPr>
          <w:rFonts w:asciiTheme="majorHAnsi" w:hAnsiTheme="majorHAnsi"/>
          <w:color w:val="000000" w:themeColor="text1"/>
          <w:sz w:val="22"/>
          <w:szCs w:val="22"/>
        </w:rPr>
        <w:t xml:space="preserve"> important</w:t>
      </w:r>
      <w:r w:rsidR="00A05CC9" w:rsidRPr="00C46090">
        <w:rPr>
          <w:rFonts w:asciiTheme="majorHAnsi" w:hAnsiTheme="majorHAnsi"/>
          <w:color w:val="000000" w:themeColor="text1"/>
          <w:sz w:val="22"/>
          <w:szCs w:val="22"/>
        </w:rPr>
        <w:t>,</w:t>
      </w:r>
      <w:r w:rsidR="003256B0" w:rsidRPr="00C46090">
        <w:rPr>
          <w:rFonts w:asciiTheme="majorHAnsi" w:hAnsiTheme="majorHAnsi"/>
          <w:color w:val="000000" w:themeColor="text1"/>
          <w:sz w:val="22"/>
          <w:szCs w:val="22"/>
        </w:rPr>
        <w:t xml:space="preserve"> and necessary guidance to trial courts evaluating domestic abuse cases. </w:t>
      </w:r>
      <w:r w:rsidR="00A05CC9" w:rsidRPr="00C46090">
        <w:rPr>
          <w:rFonts w:asciiTheme="majorHAnsi" w:hAnsiTheme="majorHAnsi"/>
          <w:color w:val="000000" w:themeColor="text1"/>
          <w:sz w:val="22"/>
          <w:szCs w:val="22"/>
        </w:rPr>
        <w:t>Lastly, t</w:t>
      </w:r>
      <w:r w:rsidR="00B03E6B" w:rsidRPr="00C46090">
        <w:rPr>
          <w:rFonts w:asciiTheme="majorHAnsi" w:hAnsiTheme="majorHAnsi"/>
          <w:color w:val="000000" w:themeColor="text1"/>
          <w:sz w:val="22"/>
          <w:szCs w:val="22"/>
        </w:rPr>
        <w:t xml:space="preserve">he </w:t>
      </w:r>
      <w:r w:rsidR="00A05CC9" w:rsidRPr="00C46090">
        <w:rPr>
          <w:rFonts w:asciiTheme="majorHAnsi" w:hAnsiTheme="majorHAnsi"/>
          <w:color w:val="000000" w:themeColor="text1"/>
          <w:sz w:val="22"/>
          <w:szCs w:val="22"/>
        </w:rPr>
        <w:t>letter notes</w:t>
      </w:r>
      <w:r w:rsidR="00B03E6B" w:rsidRPr="00C46090">
        <w:rPr>
          <w:rFonts w:asciiTheme="majorHAnsi" w:hAnsiTheme="majorHAnsi"/>
          <w:color w:val="000000" w:themeColor="text1"/>
          <w:sz w:val="22"/>
          <w:szCs w:val="22"/>
        </w:rPr>
        <w:t xml:space="preserve"> that</w:t>
      </w:r>
      <w:r w:rsidR="003256B0" w:rsidRPr="00C46090">
        <w:rPr>
          <w:rFonts w:asciiTheme="majorHAnsi" w:hAnsiTheme="majorHAnsi"/>
          <w:color w:val="000000" w:themeColor="text1"/>
          <w:sz w:val="22"/>
          <w:szCs w:val="22"/>
        </w:rPr>
        <w:t xml:space="preserve"> such </w:t>
      </w:r>
      <w:r w:rsidR="003256B0" w:rsidRPr="00C46090">
        <w:rPr>
          <w:rFonts w:asciiTheme="majorHAnsi" w:hAnsiTheme="majorHAnsi"/>
          <w:color w:val="000000" w:themeColor="text1"/>
          <w:sz w:val="22"/>
          <w:szCs w:val="22"/>
        </w:rPr>
        <w:lastRenderedPageBreak/>
        <w:t>guidance would help</w:t>
      </w:r>
      <w:r w:rsidR="00B03E6B" w:rsidRPr="00C46090">
        <w:rPr>
          <w:rFonts w:asciiTheme="majorHAnsi" w:hAnsiTheme="majorHAnsi"/>
          <w:color w:val="000000" w:themeColor="text1"/>
          <w:sz w:val="22"/>
          <w:szCs w:val="22"/>
        </w:rPr>
        <w:t xml:space="preserve"> reduce the pervasive and harmful public health and safety consequences, as well as the costs associated with domestic abuse.</w:t>
      </w:r>
    </w:p>
    <w:p w14:paraId="6AB93449" w14:textId="5E17B5C6" w:rsidR="00A05CC9" w:rsidRPr="00C46090" w:rsidRDefault="00A05CC9" w:rsidP="00D15AF6">
      <w:pPr>
        <w:rPr>
          <w:rFonts w:asciiTheme="majorHAnsi" w:hAnsiTheme="majorHAnsi"/>
          <w:color w:val="000000" w:themeColor="text1"/>
          <w:sz w:val="22"/>
          <w:szCs w:val="22"/>
        </w:rPr>
      </w:pPr>
    </w:p>
    <w:p w14:paraId="4EA5644A" w14:textId="364E0F9E" w:rsidR="00A05CC9" w:rsidRDefault="00A05CC9" w:rsidP="00D15AF6">
      <w:pPr>
        <w:rPr>
          <w:rFonts w:asciiTheme="majorHAnsi" w:hAnsiTheme="majorHAnsi"/>
          <w:color w:val="000000" w:themeColor="text1"/>
          <w:sz w:val="22"/>
          <w:szCs w:val="22"/>
        </w:rPr>
      </w:pPr>
      <w:r w:rsidRPr="00C46090">
        <w:rPr>
          <w:rFonts w:asciiTheme="majorHAnsi" w:hAnsiTheme="majorHAnsi"/>
          <w:color w:val="000000" w:themeColor="text1"/>
          <w:sz w:val="22"/>
          <w:szCs w:val="22"/>
        </w:rPr>
        <w:t>The California Court of Appeal changed the publication status of the opinion to published on April 22, 2019.</w:t>
      </w:r>
    </w:p>
    <w:p w14:paraId="6BB9FF41" w14:textId="59825F2A" w:rsidR="00C72B93" w:rsidRDefault="00C72B93" w:rsidP="00D15AF6">
      <w:pPr>
        <w:rPr>
          <w:rFonts w:asciiTheme="majorHAnsi" w:hAnsiTheme="majorHAnsi"/>
          <w:color w:val="000000" w:themeColor="text1"/>
          <w:sz w:val="22"/>
          <w:szCs w:val="22"/>
        </w:rPr>
      </w:pPr>
    </w:p>
    <w:p w14:paraId="3591A440" w14:textId="77777777" w:rsidR="00C72B93" w:rsidRPr="00AA6233" w:rsidRDefault="00C72B93" w:rsidP="00C72B93">
      <w:pPr>
        <w:pStyle w:val="ListParagraph"/>
        <w:numPr>
          <w:ilvl w:val="0"/>
          <w:numId w:val="1"/>
        </w:numPr>
        <w:rPr>
          <w:rFonts w:asciiTheme="majorHAnsi" w:hAnsiTheme="majorHAnsi"/>
          <w:b/>
          <w:sz w:val="22"/>
          <w:szCs w:val="22"/>
        </w:rPr>
      </w:pPr>
      <w:r w:rsidRPr="00AA6233">
        <w:rPr>
          <w:rFonts w:asciiTheme="majorHAnsi" w:hAnsiTheme="majorHAnsi"/>
          <w:b/>
          <w:i/>
          <w:sz w:val="22"/>
          <w:szCs w:val="22"/>
          <w:u w:val="single"/>
        </w:rPr>
        <w:t>State of California, et. al. v. U.S. Department of Health &amp; Human Services, et. al.</w:t>
      </w:r>
      <w:r w:rsidRPr="00AA6233">
        <w:rPr>
          <w:rFonts w:asciiTheme="majorHAnsi" w:hAnsiTheme="majorHAnsi"/>
          <w:b/>
          <w:sz w:val="22"/>
          <w:szCs w:val="22"/>
        </w:rPr>
        <w:t xml:space="preserve"> (First Circuit, Third Circuit, Ninth Circuit), filed 9/21/18 (First Circuit), </w:t>
      </w:r>
      <w:r>
        <w:rPr>
          <w:rFonts w:asciiTheme="majorHAnsi" w:hAnsiTheme="majorHAnsi"/>
          <w:b/>
          <w:sz w:val="22"/>
          <w:szCs w:val="22"/>
        </w:rPr>
        <w:t xml:space="preserve">3/22/19 (Third Circuit), </w:t>
      </w:r>
      <w:r w:rsidRPr="00AA6233">
        <w:rPr>
          <w:rFonts w:asciiTheme="majorHAnsi" w:hAnsiTheme="majorHAnsi"/>
          <w:b/>
          <w:sz w:val="22"/>
          <w:szCs w:val="22"/>
        </w:rPr>
        <w:t xml:space="preserve">4/22/19 (Ninth Circuit) </w:t>
      </w:r>
    </w:p>
    <w:p w14:paraId="2F56ED1D" w14:textId="77777777" w:rsidR="00C72B93" w:rsidRPr="00C46090" w:rsidRDefault="00C72B93" w:rsidP="00C72B93">
      <w:pPr>
        <w:rPr>
          <w:rFonts w:asciiTheme="majorHAnsi" w:hAnsiTheme="majorHAnsi"/>
          <w:b/>
          <w:i/>
          <w:sz w:val="22"/>
          <w:szCs w:val="22"/>
        </w:rPr>
      </w:pPr>
      <w:r w:rsidRPr="00C46090">
        <w:rPr>
          <w:rFonts w:asciiTheme="majorHAnsi" w:hAnsiTheme="majorHAnsi"/>
          <w:b/>
          <w:i/>
          <w:sz w:val="22"/>
          <w:szCs w:val="22"/>
        </w:rPr>
        <w:t>Reproductive Rights</w:t>
      </w:r>
    </w:p>
    <w:p w14:paraId="34D33E6A" w14:textId="77777777" w:rsidR="00C72B93" w:rsidRPr="00C46090" w:rsidRDefault="00C72B93" w:rsidP="00C72B93">
      <w:pPr>
        <w:rPr>
          <w:rFonts w:asciiTheme="majorHAnsi" w:hAnsiTheme="majorHAnsi"/>
          <w:b/>
          <w:sz w:val="22"/>
          <w:szCs w:val="22"/>
        </w:rPr>
      </w:pPr>
      <w:r w:rsidRPr="00C46090">
        <w:rPr>
          <w:rFonts w:asciiTheme="majorHAnsi" w:hAnsiTheme="majorHAnsi"/>
          <w:b/>
          <w:sz w:val="22"/>
          <w:szCs w:val="22"/>
        </w:rPr>
        <w:t>Author: Center for Reproductive Rights</w:t>
      </w:r>
    </w:p>
    <w:p w14:paraId="270E29EC" w14:textId="77777777" w:rsidR="00C72B93" w:rsidRDefault="00C72B93" w:rsidP="00C72B93">
      <w:pPr>
        <w:pStyle w:val="NormalWeb"/>
        <w:rPr>
          <w:rFonts w:asciiTheme="majorHAnsi" w:hAnsiTheme="majorHAnsi"/>
          <w:color w:val="000000" w:themeColor="text1"/>
          <w:sz w:val="22"/>
          <w:szCs w:val="22"/>
        </w:rPr>
      </w:pPr>
      <w:r w:rsidRPr="00C46090">
        <w:rPr>
          <w:rFonts w:asciiTheme="majorHAnsi" w:hAnsiTheme="majorHAnsi"/>
          <w:sz w:val="22"/>
          <w:szCs w:val="22"/>
        </w:rPr>
        <w:t>Th</w:t>
      </w:r>
      <w:r>
        <w:rPr>
          <w:rFonts w:asciiTheme="majorHAnsi" w:hAnsiTheme="majorHAnsi"/>
          <w:sz w:val="22"/>
          <w:szCs w:val="22"/>
        </w:rPr>
        <w:t>is series of</w:t>
      </w:r>
      <w:r w:rsidRPr="00C46090">
        <w:rPr>
          <w:rFonts w:asciiTheme="majorHAnsi" w:hAnsiTheme="majorHAnsi"/>
          <w:sz w:val="22"/>
          <w:szCs w:val="22"/>
        </w:rPr>
        <w:t xml:space="preserve"> amicus brief </w:t>
      </w:r>
      <w:r>
        <w:rPr>
          <w:rFonts w:asciiTheme="majorHAnsi" w:hAnsiTheme="majorHAnsi"/>
          <w:sz w:val="22"/>
          <w:szCs w:val="22"/>
        </w:rPr>
        <w:t>supports</w:t>
      </w:r>
      <w:r w:rsidRPr="00C46090">
        <w:rPr>
          <w:rFonts w:asciiTheme="majorHAnsi" w:hAnsiTheme="majorHAnsi"/>
          <w:sz w:val="22"/>
          <w:szCs w:val="22"/>
        </w:rPr>
        <w:t xml:space="preserve"> enjoin</w:t>
      </w:r>
      <w:r>
        <w:rPr>
          <w:rFonts w:asciiTheme="majorHAnsi" w:hAnsiTheme="majorHAnsi"/>
          <w:sz w:val="22"/>
          <w:szCs w:val="22"/>
        </w:rPr>
        <w:t>ing</w:t>
      </w:r>
      <w:r w:rsidRPr="00C46090">
        <w:rPr>
          <w:rFonts w:asciiTheme="majorHAnsi" w:hAnsiTheme="majorHAnsi"/>
          <w:sz w:val="22"/>
          <w:szCs w:val="22"/>
        </w:rPr>
        <w:t xml:space="preserve"> two regulations issued </w:t>
      </w:r>
      <w:r w:rsidRPr="00C46090">
        <w:rPr>
          <w:rFonts w:asciiTheme="majorHAnsi" w:hAnsiTheme="majorHAnsi"/>
          <w:color w:val="000000" w:themeColor="text1"/>
          <w:sz w:val="22"/>
          <w:szCs w:val="22"/>
        </w:rPr>
        <w:t xml:space="preserve">by the Departments of Health and Human Services, Labor, and Treasury: </w:t>
      </w:r>
      <w:r>
        <w:rPr>
          <w:rFonts w:asciiTheme="majorHAnsi" w:hAnsiTheme="majorHAnsi"/>
          <w:color w:val="000000" w:themeColor="text1"/>
          <w:sz w:val="22"/>
          <w:szCs w:val="22"/>
        </w:rPr>
        <w:t>t</w:t>
      </w:r>
      <w:r w:rsidRPr="00C46090">
        <w:rPr>
          <w:rFonts w:asciiTheme="majorHAnsi" w:hAnsiTheme="majorHAnsi"/>
          <w:color w:val="000000" w:themeColor="text1"/>
          <w:sz w:val="22"/>
          <w:szCs w:val="22"/>
        </w:rPr>
        <w:t>he Religious Exemption Rule, 83 Fed. Reg. 57,536 and the Moral Exemption Rule, 83 Fed. Reg. 57,592 (“Rules”). These two Rules exempt employers and universities with a religious or moral objection from complying with the Affordable Care Act’s requirement of providing no-cost coverage for contraceptive services. Amici argue that the aforementioned rules require exacting judicial scrutiny because they discriminate against employees, students, and women who choose to exercise their fundamental right to contraception and seek access to preventive health care. Further, the brief emphasizes that because they burden a fundamental right and heighten structural barriers to equal economic opportunities and health disparities for women of color and low-income women, the Rules are contrary to the goal of the Women’s Health Amendment and argue a strict scrutiny standard is required under Equal Protection. If strict scrutiny is properly applied, amici argue that these Rules cannot survive because they are not narrowly tailored; the Rules are unnecessarily broad by offering exceptions to virtually all employers and universities and eliminating the accommodation exception for objecting institutions to achieve any purported goal of reasonably accommodating religious or moral objections.</w:t>
      </w:r>
    </w:p>
    <w:p w14:paraId="656B0C2A" w14:textId="77777777" w:rsidR="00C72B93" w:rsidRDefault="00C72B93" w:rsidP="00C72B93">
      <w:pPr>
        <w:pStyle w:val="NormalWeb"/>
        <w:rPr>
          <w:rFonts w:asciiTheme="majorHAnsi" w:hAnsiTheme="majorHAnsi"/>
          <w:color w:val="000000" w:themeColor="text1"/>
          <w:sz w:val="22"/>
          <w:szCs w:val="22"/>
        </w:rPr>
      </w:pPr>
      <w:r>
        <w:rPr>
          <w:rFonts w:asciiTheme="majorHAnsi" w:hAnsiTheme="majorHAnsi"/>
          <w:color w:val="000000" w:themeColor="text1"/>
          <w:sz w:val="22"/>
          <w:szCs w:val="22"/>
        </w:rPr>
        <w:t>On May 2, 2019, the First Circuit</w:t>
      </w:r>
      <w:r w:rsidRPr="008A3018">
        <w:rPr>
          <w:rFonts w:asciiTheme="majorHAnsi" w:hAnsiTheme="majorHAnsi"/>
          <w:color w:val="000000" w:themeColor="text1"/>
          <w:sz w:val="22"/>
          <w:szCs w:val="22"/>
        </w:rPr>
        <w:t xml:space="preserve"> </w:t>
      </w:r>
      <w:r>
        <w:rPr>
          <w:rFonts w:asciiTheme="majorHAnsi" w:hAnsiTheme="majorHAnsi"/>
          <w:color w:val="000000" w:themeColor="text1"/>
          <w:sz w:val="22"/>
          <w:szCs w:val="22"/>
        </w:rPr>
        <w:t>i</w:t>
      </w:r>
      <w:r w:rsidRPr="00AA6233">
        <w:rPr>
          <w:rFonts w:asciiTheme="majorHAnsi" w:hAnsiTheme="majorHAnsi"/>
          <w:color w:val="000000" w:themeColor="text1"/>
          <w:sz w:val="22"/>
          <w:szCs w:val="22"/>
        </w:rPr>
        <w:t xml:space="preserve">ssued an opinion reversing the district court’s dismissal of </w:t>
      </w:r>
      <w:r>
        <w:rPr>
          <w:rFonts w:asciiTheme="majorHAnsi" w:hAnsiTheme="majorHAnsi"/>
          <w:color w:val="000000" w:themeColor="text1"/>
          <w:sz w:val="22"/>
          <w:szCs w:val="22"/>
        </w:rPr>
        <w:t>Massachusetts’</w:t>
      </w:r>
      <w:r w:rsidRPr="00AA6233">
        <w:rPr>
          <w:rFonts w:asciiTheme="majorHAnsi" w:hAnsiTheme="majorHAnsi"/>
          <w:color w:val="000000" w:themeColor="text1"/>
          <w:sz w:val="22"/>
          <w:szCs w:val="22"/>
        </w:rPr>
        <w:t xml:space="preserve"> case for lack of Article III standing</w:t>
      </w:r>
      <w:r>
        <w:rPr>
          <w:rFonts w:asciiTheme="majorHAnsi" w:hAnsiTheme="majorHAnsi"/>
          <w:color w:val="000000" w:themeColor="text1"/>
          <w:sz w:val="22"/>
          <w:szCs w:val="22"/>
        </w:rPr>
        <w:t xml:space="preserve">. </w:t>
      </w:r>
      <w:r w:rsidRPr="00AA6233">
        <w:rPr>
          <w:rFonts w:asciiTheme="majorHAnsi" w:hAnsiTheme="majorHAnsi"/>
          <w:color w:val="000000" w:themeColor="text1"/>
          <w:sz w:val="22"/>
          <w:szCs w:val="22"/>
        </w:rPr>
        <w:t>The First Circuit held the state does have Article III standing and could proceed with its substantive claims against the Final Rules.</w:t>
      </w:r>
    </w:p>
    <w:p w14:paraId="56BE8165" w14:textId="77777777" w:rsidR="00C72B93" w:rsidRDefault="00C72B93" w:rsidP="00C72B93">
      <w:pPr>
        <w:pStyle w:val="NormalWeb"/>
        <w:rPr>
          <w:rFonts w:asciiTheme="majorHAnsi" w:hAnsiTheme="majorHAnsi"/>
          <w:color w:val="000000" w:themeColor="text1"/>
          <w:sz w:val="22"/>
          <w:szCs w:val="22"/>
        </w:rPr>
      </w:pPr>
      <w:r>
        <w:rPr>
          <w:rFonts w:asciiTheme="majorHAnsi" w:hAnsiTheme="majorHAnsi"/>
          <w:color w:val="000000" w:themeColor="text1"/>
          <w:sz w:val="22"/>
          <w:szCs w:val="22"/>
        </w:rPr>
        <w:t xml:space="preserve">The Third Circuit issued a decision affirming the nationwide preliminary injunction against enforcing the Rules on July 12, 2019. </w:t>
      </w:r>
    </w:p>
    <w:p w14:paraId="26D7A392" w14:textId="1D1A8BF7" w:rsidR="00686903" w:rsidRDefault="00C72B93" w:rsidP="00C72B93">
      <w:pPr>
        <w:pStyle w:val="NormalWeb"/>
        <w:rPr>
          <w:rFonts w:asciiTheme="majorHAnsi" w:hAnsiTheme="majorHAnsi"/>
          <w:color w:val="000000" w:themeColor="text1"/>
          <w:sz w:val="22"/>
          <w:szCs w:val="22"/>
        </w:rPr>
      </w:pPr>
      <w:r>
        <w:rPr>
          <w:rFonts w:asciiTheme="majorHAnsi" w:hAnsiTheme="majorHAnsi"/>
          <w:color w:val="000000" w:themeColor="text1"/>
          <w:sz w:val="22"/>
          <w:szCs w:val="22"/>
        </w:rPr>
        <w:t>The Ninth Circuit also issued a decision affirming the preliminary injunction against enforcing the</w:t>
      </w:r>
      <w:r>
        <w:rPr>
          <w:rFonts w:asciiTheme="majorHAnsi" w:hAnsiTheme="majorHAnsi"/>
          <w:color w:val="000000" w:themeColor="text1"/>
          <w:sz w:val="22"/>
          <w:szCs w:val="22"/>
        </w:rPr>
        <w:t xml:space="preserve"> </w:t>
      </w:r>
      <w:r>
        <w:rPr>
          <w:rFonts w:asciiTheme="majorHAnsi" w:hAnsiTheme="majorHAnsi"/>
          <w:color w:val="000000" w:themeColor="text1"/>
          <w:sz w:val="22"/>
          <w:szCs w:val="22"/>
        </w:rPr>
        <w:t xml:space="preserve">Rules on October 22, 2019. </w:t>
      </w:r>
    </w:p>
    <w:p w14:paraId="0420884D" w14:textId="77777777" w:rsidR="00C72B93" w:rsidRPr="00C46090" w:rsidRDefault="00C72B93" w:rsidP="00C72B93">
      <w:pPr>
        <w:pStyle w:val="ListParagraph"/>
        <w:numPr>
          <w:ilvl w:val="0"/>
          <w:numId w:val="1"/>
        </w:numPr>
        <w:rPr>
          <w:rFonts w:asciiTheme="majorHAnsi" w:hAnsiTheme="majorHAnsi"/>
          <w:b/>
          <w:sz w:val="22"/>
          <w:szCs w:val="22"/>
        </w:rPr>
      </w:pPr>
      <w:r w:rsidRPr="00C46090">
        <w:rPr>
          <w:rFonts w:asciiTheme="majorHAnsi" w:hAnsiTheme="majorHAnsi"/>
          <w:b/>
          <w:i/>
          <w:sz w:val="22"/>
          <w:szCs w:val="22"/>
          <w:u w:val="single"/>
        </w:rPr>
        <w:t>Jane Doe v. University of Kentucky</w:t>
      </w:r>
      <w:r w:rsidRPr="00C46090">
        <w:rPr>
          <w:rFonts w:asciiTheme="majorHAnsi" w:hAnsiTheme="majorHAnsi"/>
          <w:b/>
          <w:sz w:val="22"/>
          <w:szCs w:val="22"/>
        </w:rPr>
        <w:t xml:space="preserve"> (Sixth Circuit), filed 5/8/19</w:t>
      </w:r>
    </w:p>
    <w:p w14:paraId="6F19A9B7" w14:textId="77777777" w:rsidR="00C72B93" w:rsidRPr="00C46090" w:rsidRDefault="00C72B93" w:rsidP="00C72B93">
      <w:pPr>
        <w:rPr>
          <w:rFonts w:asciiTheme="majorHAnsi" w:hAnsiTheme="majorHAnsi"/>
          <w:b/>
          <w:i/>
          <w:sz w:val="22"/>
          <w:szCs w:val="22"/>
        </w:rPr>
      </w:pPr>
      <w:r w:rsidRPr="00C46090">
        <w:rPr>
          <w:rFonts w:asciiTheme="majorHAnsi" w:hAnsiTheme="majorHAnsi"/>
          <w:b/>
          <w:i/>
          <w:sz w:val="22"/>
          <w:szCs w:val="22"/>
        </w:rPr>
        <w:t xml:space="preserve">Gender Discrimination </w:t>
      </w:r>
    </w:p>
    <w:p w14:paraId="4690D714" w14:textId="77777777" w:rsidR="00C72B93" w:rsidRPr="00C46090" w:rsidRDefault="00C72B93" w:rsidP="00C72B93">
      <w:pPr>
        <w:rPr>
          <w:rFonts w:asciiTheme="majorHAnsi" w:hAnsiTheme="majorHAnsi"/>
          <w:b/>
          <w:sz w:val="22"/>
          <w:szCs w:val="22"/>
        </w:rPr>
      </w:pPr>
      <w:r w:rsidRPr="00C46090">
        <w:rPr>
          <w:rFonts w:asciiTheme="majorHAnsi" w:hAnsiTheme="majorHAnsi"/>
          <w:b/>
          <w:sz w:val="22"/>
          <w:szCs w:val="22"/>
        </w:rPr>
        <w:t>Author: National Women’s Law Center</w:t>
      </w:r>
    </w:p>
    <w:p w14:paraId="3D97EF03" w14:textId="77777777" w:rsidR="00C72B93" w:rsidRPr="00C46090" w:rsidRDefault="00C72B93" w:rsidP="00C72B93">
      <w:pPr>
        <w:rPr>
          <w:rFonts w:asciiTheme="majorHAnsi" w:hAnsiTheme="majorHAnsi"/>
          <w:sz w:val="22"/>
          <w:szCs w:val="22"/>
        </w:rPr>
      </w:pPr>
    </w:p>
    <w:p w14:paraId="08B90A47" w14:textId="77777777" w:rsidR="00C72B93" w:rsidRDefault="00C72B93" w:rsidP="00C72B93">
      <w:pPr>
        <w:rPr>
          <w:rFonts w:asciiTheme="majorHAnsi" w:hAnsiTheme="majorHAnsi"/>
          <w:sz w:val="22"/>
          <w:szCs w:val="22"/>
        </w:rPr>
      </w:pPr>
      <w:r w:rsidRPr="00C46090">
        <w:rPr>
          <w:rFonts w:asciiTheme="majorHAnsi" w:hAnsiTheme="majorHAnsi"/>
          <w:sz w:val="22"/>
          <w:szCs w:val="22"/>
        </w:rPr>
        <w:t>The amicus brief asks the court to vacate the district court’s order dismissing plaintiff’s Title IX claims for lack of standing and remand for two reasons. First, amici argue that Title IX’s text, legislative history, implementing regulations, and administrative guidance support a broader interpretation of standing than the district court’s narrow reading. The brief argues that the above list supports the conclusion that Title IX does not limit the class of protected person</w:t>
      </w:r>
      <w:r>
        <w:rPr>
          <w:rFonts w:asciiTheme="majorHAnsi" w:hAnsiTheme="majorHAnsi"/>
          <w:sz w:val="22"/>
          <w:szCs w:val="22"/>
        </w:rPr>
        <w:t>s</w:t>
      </w:r>
      <w:r w:rsidRPr="00C46090">
        <w:rPr>
          <w:rFonts w:asciiTheme="majorHAnsi" w:hAnsiTheme="majorHAnsi"/>
          <w:sz w:val="22"/>
          <w:szCs w:val="22"/>
        </w:rPr>
        <w:t xml:space="preserve"> to </w:t>
      </w:r>
      <w:r w:rsidRPr="00C46090">
        <w:rPr>
          <w:rFonts w:asciiTheme="majorHAnsi" w:hAnsiTheme="majorHAnsi"/>
          <w:sz w:val="22"/>
          <w:szCs w:val="22"/>
        </w:rPr>
        <w:lastRenderedPageBreak/>
        <w:t>those with a particular relationship to the education institution, as the district court held, but rather characterizes the relationship as discrimination relating to an “education program or activity” including all institution operations. Therefore, the brief argues that the district court erred in denying the plaintiff Title IX protections simply because she was not enrolled at the school, despite the fact that the plaintiff lived on campus, attended classes in the institution’s buildings, and studied in the institution’s libraries. Second, the brief argues that the district court’s narrow reading of the class of people Title IX protects undermines the purpose and policies of the statute; the purpose of Title IX is to regulate the behavior of educational institutions receiving funds, however, the district court’s narrow reading would incentivize federally funded universities to discriminate between survivors of sexual harassment based on their enrollment status at the university. Finally, amici emphasize that this exclusion from Title IX’s protections undermines congressional goals of equal access to higher education.</w:t>
      </w:r>
    </w:p>
    <w:p w14:paraId="3DCC0482" w14:textId="77777777" w:rsidR="00C72B93" w:rsidRDefault="00C72B93" w:rsidP="00C72B93">
      <w:pPr>
        <w:rPr>
          <w:rFonts w:asciiTheme="majorHAnsi" w:hAnsiTheme="majorHAnsi"/>
          <w:sz w:val="22"/>
          <w:szCs w:val="22"/>
        </w:rPr>
      </w:pPr>
    </w:p>
    <w:p w14:paraId="56D5CA57" w14:textId="77777777" w:rsidR="00C72B93" w:rsidRPr="00C46090" w:rsidRDefault="00C72B93" w:rsidP="00C72B93">
      <w:pPr>
        <w:rPr>
          <w:rFonts w:asciiTheme="majorHAnsi" w:hAnsiTheme="majorHAnsi"/>
          <w:sz w:val="22"/>
          <w:szCs w:val="22"/>
        </w:rPr>
      </w:pPr>
      <w:r>
        <w:rPr>
          <w:rFonts w:asciiTheme="majorHAnsi" w:hAnsiTheme="majorHAnsi"/>
          <w:sz w:val="22"/>
          <w:szCs w:val="22"/>
        </w:rPr>
        <w:t xml:space="preserve">Oral argument occurred October 17, 2019. </w:t>
      </w:r>
    </w:p>
    <w:p w14:paraId="62C040A6" w14:textId="77777777" w:rsidR="00C72B93" w:rsidRPr="00C46090" w:rsidRDefault="00C72B93" w:rsidP="00C72B93">
      <w:pPr>
        <w:rPr>
          <w:rFonts w:asciiTheme="majorHAnsi" w:hAnsiTheme="majorHAnsi"/>
          <w:sz w:val="22"/>
          <w:szCs w:val="22"/>
        </w:rPr>
      </w:pPr>
    </w:p>
    <w:p w14:paraId="047D005E" w14:textId="77777777" w:rsidR="00C72B93" w:rsidRPr="00C46090" w:rsidRDefault="00C72B93" w:rsidP="00C72B93">
      <w:pPr>
        <w:pStyle w:val="ListParagraph"/>
        <w:numPr>
          <w:ilvl w:val="0"/>
          <w:numId w:val="1"/>
        </w:numPr>
        <w:rPr>
          <w:rFonts w:asciiTheme="majorHAnsi" w:hAnsiTheme="majorHAnsi"/>
          <w:b/>
          <w:sz w:val="22"/>
          <w:szCs w:val="22"/>
        </w:rPr>
      </w:pPr>
      <w:r w:rsidRPr="00C46090">
        <w:rPr>
          <w:rFonts w:asciiTheme="majorHAnsi" w:hAnsiTheme="majorHAnsi"/>
          <w:b/>
          <w:i/>
          <w:sz w:val="22"/>
          <w:szCs w:val="22"/>
          <w:u w:val="single"/>
        </w:rPr>
        <w:t>Crystal Vargas v. Robert Galaviz</w:t>
      </w:r>
      <w:r w:rsidRPr="00C46090">
        <w:rPr>
          <w:rFonts w:asciiTheme="majorHAnsi" w:hAnsiTheme="majorHAnsi"/>
          <w:b/>
          <w:sz w:val="22"/>
          <w:szCs w:val="22"/>
        </w:rPr>
        <w:t xml:space="preserve"> (C</w:t>
      </w:r>
      <w:r>
        <w:rPr>
          <w:rFonts w:asciiTheme="majorHAnsi" w:hAnsiTheme="majorHAnsi"/>
          <w:b/>
          <w:sz w:val="22"/>
          <w:szCs w:val="22"/>
        </w:rPr>
        <w:t>alifornia</w:t>
      </w:r>
      <w:r w:rsidRPr="00C46090">
        <w:rPr>
          <w:rFonts w:asciiTheme="majorHAnsi" w:hAnsiTheme="majorHAnsi"/>
          <w:b/>
          <w:sz w:val="22"/>
          <w:szCs w:val="22"/>
        </w:rPr>
        <w:t xml:space="preserve"> Court of Appeal), filed 5/14/2019</w:t>
      </w:r>
    </w:p>
    <w:p w14:paraId="4A83C461" w14:textId="77777777" w:rsidR="00C72B93" w:rsidRPr="00C46090" w:rsidRDefault="00C72B93" w:rsidP="00C72B93">
      <w:pPr>
        <w:rPr>
          <w:rFonts w:asciiTheme="majorHAnsi" w:hAnsiTheme="majorHAnsi"/>
          <w:b/>
          <w:i/>
          <w:sz w:val="22"/>
          <w:szCs w:val="22"/>
        </w:rPr>
      </w:pPr>
      <w:r w:rsidRPr="00C46090">
        <w:rPr>
          <w:rFonts w:asciiTheme="majorHAnsi" w:hAnsiTheme="majorHAnsi"/>
          <w:b/>
          <w:i/>
          <w:sz w:val="22"/>
          <w:szCs w:val="22"/>
        </w:rPr>
        <w:t>Domestic Violence and Child Custody</w:t>
      </w:r>
    </w:p>
    <w:p w14:paraId="3C1199DA" w14:textId="77777777" w:rsidR="00C72B93" w:rsidRPr="00C46090" w:rsidRDefault="00C72B93" w:rsidP="00C72B93">
      <w:pPr>
        <w:rPr>
          <w:rFonts w:asciiTheme="majorHAnsi" w:hAnsiTheme="majorHAnsi"/>
          <w:b/>
          <w:sz w:val="22"/>
          <w:szCs w:val="22"/>
        </w:rPr>
      </w:pPr>
      <w:r w:rsidRPr="00C46090">
        <w:rPr>
          <w:rFonts w:asciiTheme="majorHAnsi" w:hAnsiTheme="majorHAnsi"/>
          <w:b/>
          <w:sz w:val="22"/>
          <w:szCs w:val="22"/>
        </w:rPr>
        <w:t>Author: C</w:t>
      </w:r>
      <w:r>
        <w:rPr>
          <w:rFonts w:asciiTheme="majorHAnsi" w:hAnsiTheme="majorHAnsi"/>
          <w:b/>
          <w:sz w:val="22"/>
          <w:szCs w:val="22"/>
        </w:rPr>
        <w:t>alifornia Women’s Law Center</w:t>
      </w:r>
    </w:p>
    <w:p w14:paraId="0A480728" w14:textId="77777777" w:rsidR="00C72B93" w:rsidRPr="00C46090" w:rsidRDefault="00C72B93" w:rsidP="00C72B93">
      <w:pPr>
        <w:rPr>
          <w:rFonts w:asciiTheme="majorHAnsi" w:hAnsiTheme="majorHAnsi"/>
          <w:sz w:val="22"/>
          <w:szCs w:val="22"/>
        </w:rPr>
      </w:pPr>
    </w:p>
    <w:p w14:paraId="08473D89" w14:textId="77777777" w:rsidR="00C72B93" w:rsidRDefault="00C72B93" w:rsidP="00C72B93">
      <w:pPr>
        <w:rPr>
          <w:rFonts w:asciiTheme="majorHAnsi" w:hAnsiTheme="majorHAnsi"/>
          <w:sz w:val="22"/>
          <w:szCs w:val="22"/>
        </w:rPr>
      </w:pPr>
      <w:r w:rsidRPr="00C46090">
        <w:rPr>
          <w:rFonts w:asciiTheme="majorHAnsi" w:hAnsiTheme="majorHAnsi"/>
          <w:sz w:val="22"/>
          <w:szCs w:val="22"/>
        </w:rPr>
        <w:t>The amicus brief asks the Court to confirm that Family Code Section 3044, which requires a mandatory rebuttable presumption against awarding sole or joint physical or legal custody of a child to a person who has perpetrated domestic violence within the last five years, applies to de facto joint custody orders, even when such orders are called something other than “joint custody” by the judge. The brief emphasizes that courts routinely misapply the rebuttal presumption, as the district court did here, and, therefore, clarification by the Court would provide important guidance to courts when making child custody and visitation determinations. Additionally, amici highlight the immediate- and long-lasting consequences children exposed to domestic abuse face when a court fails to apply Section 3044 to de facto awards of joint custody. Lastly, amici argue that Section 3044’s safeguards are particularly critical here because domestic violence victims are often not represented by counsel in custody hearings, and the Court’s clarity on Section 3044 would appropriately lessen the burden unrepresented domestic violence survivors currently face in custody hearings.</w:t>
      </w:r>
    </w:p>
    <w:p w14:paraId="3010667F" w14:textId="77777777" w:rsidR="00C72B93" w:rsidRDefault="00C72B93" w:rsidP="00C72B93">
      <w:pPr>
        <w:rPr>
          <w:rFonts w:asciiTheme="majorHAnsi" w:hAnsiTheme="majorHAnsi"/>
          <w:sz w:val="22"/>
          <w:szCs w:val="22"/>
        </w:rPr>
      </w:pPr>
    </w:p>
    <w:p w14:paraId="1E7831F0" w14:textId="55CA4232" w:rsidR="00C72B93" w:rsidRDefault="00C72B93" w:rsidP="00C72B93">
      <w:pPr>
        <w:rPr>
          <w:rFonts w:asciiTheme="majorHAnsi" w:hAnsiTheme="majorHAnsi"/>
          <w:sz w:val="22"/>
          <w:szCs w:val="22"/>
        </w:rPr>
      </w:pPr>
      <w:r>
        <w:rPr>
          <w:rFonts w:asciiTheme="majorHAnsi" w:hAnsiTheme="majorHAnsi"/>
          <w:sz w:val="22"/>
          <w:szCs w:val="22"/>
        </w:rPr>
        <w:t xml:space="preserve">On August 19, 2019, the Court of Appeal issued an unpublished decision reversing the trial court’s custody and visitation order. </w:t>
      </w:r>
    </w:p>
    <w:p w14:paraId="4B5A6CD4" w14:textId="77777777" w:rsidR="00C72B93" w:rsidRPr="00C46090" w:rsidRDefault="00C72B93" w:rsidP="00C72B93">
      <w:pPr>
        <w:rPr>
          <w:rFonts w:asciiTheme="majorHAnsi" w:hAnsiTheme="majorHAnsi"/>
          <w:sz w:val="22"/>
          <w:szCs w:val="22"/>
        </w:rPr>
      </w:pPr>
    </w:p>
    <w:p w14:paraId="39AACE23" w14:textId="0C9B20CF" w:rsidR="00686903" w:rsidRPr="00C46090" w:rsidRDefault="00686903" w:rsidP="00C72B93">
      <w:pPr>
        <w:pStyle w:val="ListParagraph"/>
        <w:numPr>
          <w:ilvl w:val="0"/>
          <w:numId w:val="1"/>
        </w:numPr>
        <w:rPr>
          <w:rFonts w:asciiTheme="majorHAnsi" w:hAnsiTheme="majorHAnsi"/>
          <w:b/>
          <w:sz w:val="22"/>
          <w:szCs w:val="22"/>
        </w:rPr>
      </w:pPr>
      <w:r w:rsidRPr="00C46090">
        <w:rPr>
          <w:rFonts w:asciiTheme="majorHAnsi" w:hAnsiTheme="majorHAnsi"/>
          <w:b/>
          <w:i/>
          <w:sz w:val="22"/>
          <w:szCs w:val="22"/>
          <w:u w:val="single"/>
        </w:rPr>
        <w:t xml:space="preserve">Amanda </w:t>
      </w:r>
      <w:proofErr w:type="spellStart"/>
      <w:r w:rsidRPr="00C46090">
        <w:rPr>
          <w:rFonts w:asciiTheme="majorHAnsi" w:hAnsiTheme="majorHAnsi"/>
          <w:b/>
          <w:i/>
          <w:sz w:val="22"/>
          <w:szCs w:val="22"/>
          <w:u w:val="single"/>
        </w:rPr>
        <w:t>Wible</w:t>
      </w:r>
      <w:proofErr w:type="spellEnd"/>
      <w:r w:rsidRPr="00C46090">
        <w:rPr>
          <w:rFonts w:asciiTheme="majorHAnsi" w:hAnsiTheme="majorHAnsi"/>
          <w:b/>
          <w:i/>
          <w:sz w:val="22"/>
          <w:szCs w:val="22"/>
          <w:u w:val="single"/>
        </w:rPr>
        <w:t xml:space="preserve"> v. School District of Philadelphia</w:t>
      </w:r>
      <w:r w:rsidRPr="00C46090">
        <w:rPr>
          <w:rFonts w:asciiTheme="majorHAnsi" w:hAnsiTheme="majorHAnsi"/>
          <w:b/>
          <w:sz w:val="22"/>
          <w:szCs w:val="22"/>
        </w:rPr>
        <w:t xml:space="preserve"> (Commonwealth Court of P</w:t>
      </w:r>
      <w:r w:rsidR="00AA6233">
        <w:rPr>
          <w:rFonts w:asciiTheme="majorHAnsi" w:hAnsiTheme="majorHAnsi"/>
          <w:b/>
          <w:sz w:val="22"/>
          <w:szCs w:val="22"/>
        </w:rPr>
        <w:t>ennsylvania</w:t>
      </w:r>
      <w:r w:rsidRPr="00C46090">
        <w:rPr>
          <w:rFonts w:asciiTheme="majorHAnsi" w:hAnsiTheme="majorHAnsi"/>
          <w:b/>
          <w:sz w:val="22"/>
          <w:szCs w:val="22"/>
        </w:rPr>
        <w:t>), filed</w:t>
      </w:r>
      <w:r w:rsidR="003D5089" w:rsidRPr="00C46090">
        <w:rPr>
          <w:rFonts w:asciiTheme="majorHAnsi" w:hAnsiTheme="majorHAnsi"/>
          <w:b/>
          <w:sz w:val="22"/>
          <w:szCs w:val="22"/>
        </w:rPr>
        <w:t xml:space="preserve"> 5/22/19</w:t>
      </w:r>
    </w:p>
    <w:p w14:paraId="68B2F419" w14:textId="3F213DA6" w:rsidR="00686903" w:rsidRPr="00C46090" w:rsidRDefault="00E14B77" w:rsidP="00686903">
      <w:pPr>
        <w:rPr>
          <w:rFonts w:asciiTheme="majorHAnsi" w:hAnsiTheme="majorHAnsi"/>
          <w:b/>
          <w:i/>
          <w:sz w:val="22"/>
          <w:szCs w:val="22"/>
        </w:rPr>
      </w:pPr>
      <w:r w:rsidRPr="00C46090">
        <w:rPr>
          <w:rFonts w:asciiTheme="majorHAnsi" w:hAnsiTheme="majorHAnsi"/>
          <w:b/>
          <w:i/>
          <w:sz w:val="22"/>
          <w:szCs w:val="22"/>
        </w:rPr>
        <w:t xml:space="preserve">Sexual Harassment and </w:t>
      </w:r>
      <w:r w:rsidR="003D5089" w:rsidRPr="00C46090">
        <w:rPr>
          <w:rFonts w:asciiTheme="majorHAnsi" w:hAnsiTheme="majorHAnsi"/>
          <w:b/>
          <w:i/>
          <w:sz w:val="22"/>
          <w:szCs w:val="22"/>
        </w:rPr>
        <w:t>Assault</w:t>
      </w:r>
    </w:p>
    <w:p w14:paraId="344B45B0" w14:textId="6921321D" w:rsidR="00686903" w:rsidRPr="00C46090" w:rsidRDefault="00686903" w:rsidP="00686903">
      <w:pPr>
        <w:rPr>
          <w:rFonts w:asciiTheme="majorHAnsi" w:hAnsiTheme="majorHAnsi"/>
          <w:b/>
          <w:sz w:val="22"/>
          <w:szCs w:val="22"/>
        </w:rPr>
      </w:pPr>
      <w:r w:rsidRPr="00C46090">
        <w:rPr>
          <w:rFonts w:asciiTheme="majorHAnsi" w:hAnsiTheme="majorHAnsi"/>
          <w:b/>
          <w:sz w:val="22"/>
          <w:szCs w:val="22"/>
        </w:rPr>
        <w:t>Author: Education Law Center-PA and Women’s Law Project</w:t>
      </w:r>
    </w:p>
    <w:p w14:paraId="398C6D02" w14:textId="71FBA762" w:rsidR="00E14B77" w:rsidRPr="00C46090" w:rsidRDefault="00E14B77" w:rsidP="00686903">
      <w:pPr>
        <w:rPr>
          <w:rFonts w:asciiTheme="majorHAnsi" w:hAnsiTheme="majorHAnsi"/>
          <w:sz w:val="22"/>
          <w:szCs w:val="22"/>
        </w:rPr>
      </w:pPr>
    </w:p>
    <w:p w14:paraId="11EBC7FB" w14:textId="0A260ED9" w:rsidR="00E14B77" w:rsidRDefault="00945DEF" w:rsidP="00945DEF">
      <w:pPr>
        <w:rPr>
          <w:rFonts w:asciiTheme="majorHAnsi" w:hAnsiTheme="majorHAnsi"/>
          <w:sz w:val="22"/>
          <w:szCs w:val="22"/>
        </w:rPr>
      </w:pPr>
      <w:r w:rsidRPr="00C46090">
        <w:rPr>
          <w:rFonts w:asciiTheme="majorHAnsi" w:hAnsiTheme="majorHAnsi"/>
          <w:sz w:val="22"/>
          <w:szCs w:val="22"/>
        </w:rPr>
        <w:t>The amicus brief urges the Court to affirm the trial court’s decision that the Pennsylvania Human Relations Act (PHRA) recognizes discrimination claims against educational institutions that fail to promptly</w:t>
      </w:r>
      <w:r w:rsidR="00C059C3" w:rsidRPr="00C46090">
        <w:rPr>
          <w:rFonts w:asciiTheme="majorHAnsi" w:hAnsiTheme="majorHAnsi"/>
          <w:sz w:val="22"/>
          <w:szCs w:val="22"/>
        </w:rPr>
        <w:t xml:space="preserve"> address</w:t>
      </w:r>
      <w:r w:rsidRPr="00C46090">
        <w:rPr>
          <w:rFonts w:asciiTheme="majorHAnsi" w:hAnsiTheme="majorHAnsi"/>
          <w:sz w:val="22"/>
          <w:szCs w:val="22"/>
        </w:rPr>
        <w:t xml:space="preserve"> and effective</w:t>
      </w:r>
      <w:r w:rsidR="00C059C3" w:rsidRPr="00C46090">
        <w:rPr>
          <w:rFonts w:asciiTheme="majorHAnsi" w:hAnsiTheme="majorHAnsi"/>
          <w:sz w:val="22"/>
          <w:szCs w:val="22"/>
        </w:rPr>
        <w:t>ly</w:t>
      </w:r>
      <w:r w:rsidRPr="00C46090">
        <w:rPr>
          <w:rFonts w:asciiTheme="majorHAnsi" w:hAnsiTheme="majorHAnsi"/>
          <w:sz w:val="22"/>
          <w:szCs w:val="22"/>
        </w:rPr>
        <w:t xml:space="preserve"> remed</w:t>
      </w:r>
      <w:r w:rsidR="00C059C3" w:rsidRPr="00C46090">
        <w:rPr>
          <w:rFonts w:asciiTheme="majorHAnsi" w:hAnsiTheme="majorHAnsi"/>
          <w:sz w:val="22"/>
          <w:szCs w:val="22"/>
        </w:rPr>
        <w:t xml:space="preserve">y </w:t>
      </w:r>
      <w:r w:rsidRPr="00C46090">
        <w:rPr>
          <w:rFonts w:asciiTheme="majorHAnsi" w:hAnsiTheme="majorHAnsi"/>
          <w:sz w:val="22"/>
          <w:szCs w:val="22"/>
        </w:rPr>
        <w:t>student-on-student harassment or assault</w:t>
      </w:r>
      <w:r w:rsidR="00C059C3" w:rsidRPr="00C46090">
        <w:rPr>
          <w:rFonts w:asciiTheme="majorHAnsi" w:hAnsiTheme="majorHAnsi"/>
          <w:sz w:val="22"/>
          <w:szCs w:val="22"/>
        </w:rPr>
        <w:t xml:space="preserve"> of which they are or should be aware.</w:t>
      </w:r>
      <w:r w:rsidR="000E121C" w:rsidRPr="00C46090">
        <w:rPr>
          <w:rFonts w:asciiTheme="majorHAnsi" w:hAnsiTheme="majorHAnsi"/>
          <w:sz w:val="22"/>
          <w:szCs w:val="22"/>
        </w:rPr>
        <w:t xml:space="preserve"> </w:t>
      </w:r>
      <w:r w:rsidR="003D5089" w:rsidRPr="00C46090">
        <w:rPr>
          <w:rFonts w:asciiTheme="majorHAnsi" w:hAnsiTheme="majorHAnsi"/>
          <w:sz w:val="22"/>
          <w:szCs w:val="22"/>
        </w:rPr>
        <w:t>A</w:t>
      </w:r>
      <w:r w:rsidR="000E121C" w:rsidRPr="00C46090">
        <w:rPr>
          <w:rFonts w:asciiTheme="majorHAnsi" w:hAnsiTheme="majorHAnsi"/>
          <w:sz w:val="22"/>
          <w:szCs w:val="22"/>
        </w:rPr>
        <w:t>mici argue that case law and PHRA’s text in the public accommodations provision support a broad interpretation of PHRA</w:t>
      </w:r>
      <w:r w:rsidR="00B32019" w:rsidRPr="00C46090">
        <w:rPr>
          <w:rFonts w:asciiTheme="majorHAnsi" w:hAnsiTheme="majorHAnsi"/>
          <w:sz w:val="22"/>
          <w:szCs w:val="22"/>
        </w:rPr>
        <w:t>, including</w:t>
      </w:r>
      <w:r w:rsidR="000E121C" w:rsidRPr="00C46090">
        <w:rPr>
          <w:rFonts w:asciiTheme="majorHAnsi" w:hAnsiTheme="majorHAnsi"/>
          <w:sz w:val="22"/>
          <w:szCs w:val="22"/>
        </w:rPr>
        <w:t xml:space="preserve"> protections from student-on-student sexual harassment in education based on perceived nonconformance to sex stereotypes</w:t>
      </w:r>
      <w:r w:rsidR="00B32019" w:rsidRPr="00C46090">
        <w:rPr>
          <w:rFonts w:asciiTheme="majorHAnsi" w:hAnsiTheme="majorHAnsi"/>
          <w:sz w:val="22"/>
          <w:szCs w:val="22"/>
        </w:rPr>
        <w:t xml:space="preserve">. It further </w:t>
      </w:r>
      <w:r w:rsidR="003D5089" w:rsidRPr="00C46090">
        <w:rPr>
          <w:rFonts w:asciiTheme="majorHAnsi" w:hAnsiTheme="majorHAnsi"/>
          <w:sz w:val="22"/>
          <w:szCs w:val="22"/>
        </w:rPr>
        <w:t xml:space="preserve">emphasizes that the PHRA encompasses direct and indirect </w:t>
      </w:r>
      <w:r w:rsidR="003D5089" w:rsidRPr="00C46090">
        <w:rPr>
          <w:rFonts w:asciiTheme="majorHAnsi" w:hAnsiTheme="majorHAnsi"/>
          <w:sz w:val="22"/>
          <w:szCs w:val="22"/>
        </w:rPr>
        <w:lastRenderedPageBreak/>
        <w:t xml:space="preserve">discrimination and does not call for contemplation of an institution’s subjective intent. The brief highlights the importance of PHRA because it </w:t>
      </w:r>
      <w:r w:rsidR="00B32019" w:rsidRPr="00C46090">
        <w:rPr>
          <w:rFonts w:asciiTheme="majorHAnsi" w:hAnsiTheme="majorHAnsi"/>
          <w:sz w:val="22"/>
          <w:szCs w:val="22"/>
        </w:rPr>
        <w:t xml:space="preserve">provides remedial opportunities for the victims of harassment that are not currently available through tort claims, criminal and delinquency charges, or the Pennsylvania Public School Code. Additionally, amici </w:t>
      </w:r>
      <w:r w:rsidR="003D5089" w:rsidRPr="00C46090">
        <w:rPr>
          <w:rFonts w:asciiTheme="majorHAnsi" w:hAnsiTheme="majorHAnsi"/>
          <w:sz w:val="22"/>
          <w:szCs w:val="22"/>
        </w:rPr>
        <w:t>suggest</w:t>
      </w:r>
      <w:r w:rsidR="00B32019" w:rsidRPr="00C46090">
        <w:rPr>
          <w:rFonts w:asciiTheme="majorHAnsi" w:hAnsiTheme="majorHAnsi"/>
          <w:sz w:val="22"/>
          <w:szCs w:val="22"/>
        </w:rPr>
        <w:t xml:space="preserve"> that the </w:t>
      </w:r>
      <w:r w:rsidR="003D5089" w:rsidRPr="00C46090">
        <w:rPr>
          <w:rFonts w:asciiTheme="majorHAnsi" w:hAnsiTheme="majorHAnsi"/>
          <w:sz w:val="22"/>
          <w:szCs w:val="22"/>
        </w:rPr>
        <w:t>C</w:t>
      </w:r>
      <w:r w:rsidR="00B32019" w:rsidRPr="00C46090">
        <w:rPr>
          <w:rFonts w:asciiTheme="majorHAnsi" w:hAnsiTheme="majorHAnsi"/>
          <w:sz w:val="22"/>
          <w:szCs w:val="22"/>
        </w:rPr>
        <w:t>ourt should</w:t>
      </w:r>
      <w:r w:rsidR="003D5089" w:rsidRPr="00C46090">
        <w:rPr>
          <w:rFonts w:asciiTheme="majorHAnsi" w:hAnsiTheme="majorHAnsi"/>
          <w:sz w:val="22"/>
          <w:szCs w:val="22"/>
        </w:rPr>
        <w:t xml:space="preserve"> use this opportunity to</w:t>
      </w:r>
      <w:r w:rsidR="00B32019" w:rsidRPr="00C46090">
        <w:rPr>
          <w:rFonts w:asciiTheme="majorHAnsi" w:hAnsiTheme="majorHAnsi"/>
          <w:sz w:val="22"/>
          <w:szCs w:val="22"/>
        </w:rPr>
        <w:t xml:space="preserve"> lower the review standard under the PHRA from deliberate indifference to negligence</w:t>
      </w:r>
      <w:r w:rsidR="000A0EAA" w:rsidRPr="00C46090">
        <w:rPr>
          <w:rFonts w:asciiTheme="majorHAnsi" w:hAnsiTheme="majorHAnsi"/>
          <w:sz w:val="22"/>
          <w:szCs w:val="22"/>
        </w:rPr>
        <w:t xml:space="preserve"> because the deliberate indifference standard is uniquely tailored and applied </w:t>
      </w:r>
      <w:r w:rsidR="00F84DA2">
        <w:rPr>
          <w:rFonts w:asciiTheme="majorHAnsi" w:hAnsiTheme="majorHAnsi"/>
          <w:sz w:val="22"/>
          <w:szCs w:val="22"/>
        </w:rPr>
        <w:t xml:space="preserve">to </w:t>
      </w:r>
      <w:r w:rsidR="000A0EAA" w:rsidRPr="00C46090">
        <w:rPr>
          <w:rFonts w:asciiTheme="majorHAnsi" w:hAnsiTheme="majorHAnsi"/>
          <w:sz w:val="22"/>
          <w:szCs w:val="22"/>
        </w:rPr>
        <w:t>Title IX as a spending statute, where</w:t>
      </w:r>
      <w:r w:rsidR="003D5089" w:rsidRPr="00C46090">
        <w:rPr>
          <w:rFonts w:asciiTheme="majorHAnsi" w:hAnsiTheme="majorHAnsi"/>
          <w:sz w:val="22"/>
          <w:szCs w:val="22"/>
        </w:rPr>
        <w:t>as</w:t>
      </w:r>
      <w:r w:rsidR="000A0EAA" w:rsidRPr="00C46090">
        <w:rPr>
          <w:rFonts w:asciiTheme="majorHAnsi" w:hAnsiTheme="majorHAnsi"/>
          <w:sz w:val="22"/>
          <w:szCs w:val="22"/>
        </w:rPr>
        <w:t xml:space="preserve"> </w:t>
      </w:r>
      <w:r w:rsidR="003D5089" w:rsidRPr="00C46090">
        <w:rPr>
          <w:rFonts w:asciiTheme="majorHAnsi" w:hAnsiTheme="majorHAnsi"/>
          <w:sz w:val="22"/>
          <w:szCs w:val="22"/>
        </w:rPr>
        <w:t>a</w:t>
      </w:r>
      <w:r w:rsidR="000A0EAA" w:rsidRPr="00C46090">
        <w:rPr>
          <w:rFonts w:asciiTheme="majorHAnsi" w:hAnsiTheme="majorHAnsi"/>
          <w:sz w:val="22"/>
          <w:szCs w:val="22"/>
        </w:rPr>
        <w:t xml:space="preserve"> negligence standard is applied when </w:t>
      </w:r>
      <w:r w:rsidR="003D5089" w:rsidRPr="00C46090">
        <w:rPr>
          <w:rFonts w:asciiTheme="majorHAnsi" w:hAnsiTheme="majorHAnsi"/>
          <w:sz w:val="22"/>
          <w:szCs w:val="22"/>
        </w:rPr>
        <w:t xml:space="preserve">an </w:t>
      </w:r>
      <w:r w:rsidR="000A0EAA" w:rsidRPr="00C46090">
        <w:rPr>
          <w:rFonts w:asciiTheme="majorHAnsi" w:hAnsiTheme="majorHAnsi"/>
          <w:sz w:val="22"/>
          <w:szCs w:val="22"/>
        </w:rPr>
        <w:t xml:space="preserve">antidiscrimination statute </w:t>
      </w:r>
      <w:r w:rsidR="003D5089" w:rsidRPr="00C46090">
        <w:rPr>
          <w:rFonts w:asciiTheme="majorHAnsi" w:hAnsiTheme="majorHAnsi"/>
          <w:sz w:val="22"/>
          <w:szCs w:val="22"/>
        </w:rPr>
        <w:t>is</w:t>
      </w:r>
      <w:r w:rsidR="000A0EAA" w:rsidRPr="00C46090">
        <w:rPr>
          <w:rFonts w:asciiTheme="majorHAnsi" w:hAnsiTheme="majorHAnsi"/>
          <w:sz w:val="22"/>
          <w:szCs w:val="22"/>
        </w:rPr>
        <w:t xml:space="preserve"> at issue</w:t>
      </w:r>
      <w:r w:rsidR="003D5089" w:rsidRPr="00C46090">
        <w:rPr>
          <w:rFonts w:asciiTheme="majorHAnsi" w:hAnsiTheme="majorHAnsi"/>
          <w:sz w:val="22"/>
          <w:szCs w:val="22"/>
        </w:rPr>
        <w:t>, as is here</w:t>
      </w:r>
      <w:r w:rsidR="000A0EAA" w:rsidRPr="00C46090">
        <w:rPr>
          <w:rFonts w:asciiTheme="majorHAnsi" w:hAnsiTheme="majorHAnsi"/>
          <w:sz w:val="22"/>
          <w:szCs w:val="22"/>
        </w:rPr>
        <w:t>. The brief lastly notes that Pennsylvania case law, relevant legislative history, and analogous statutory schemes support the finding that public school districts and educational institutions are not immune from PHRA public accommodations discrimination claims.</w:t>
      </w:r>
    </w:p>
    <w:p w14:paraId="71145B31" w14:textId="34FB6821" w:rsidR="00301C6E" w:rsidRDefault="00301C6E" w:rsidP="00945DEF">
      <w:pPr>
        <w:rPr>
          <w:rFonts w:asciiTheme="majorHAnsi" w:hAnsiTheme="majorHAnsi"/>
          <w:sz w:val="22"/>
          <w:szCs w:val="22"/>
        </w:rPr>
      </w:pPr>
    </w:p>
    <w:p w14:paraId="2BD6813F" w14:textId="050B01FD" w:rsidR="00301C6E" w:rsidRPr="00C46090" w:rsidRDefault="00301C6E" w:rsidP="00945DEF">
      <w:pPr>
        <w:rPr>
          <w:rFonts w:asciiTheme="majorHAnsi" w:hAnsiTheme="majorHAnsi"/>
          <w:sz w:val="22"/>
          <w:szCs w:val="22"/>
        </w:rPr>
      </w:pPr>
      <w:r>
        <w:rPr>
          <w:rFonts w:asciiTheme="majorHAnsi" w:hAnsiTheme="majorHAnsi"/>
          <w:sz w:val="22"/>
          <w:szCs w:val="22"/>
        </w:rPr>
        <w:t xml:space="preserve">The case was settled before oral argument in November 2019. </w:t>
      </w:r>
    </w:p>
    <w:p w14:paraId="631ED60A" w14:textId="77777777" w:rsidR="00910044" w:rsidRPr="00C46090" w:rsidRDefault="00910044" w:rsidP="00910044">
      <w:pPr>
        <w:rPr>
          <w:rFonts w:asciiTheme="majorHAnsi" w:hAnsiTheme="majorHAnsi"/>
          <w:sz w:val="22"/>
          <w:szCs w:val="22"/>
        </w:rPr>
      </w:pPr>
    </w:p>
    <w:p w14:paraId="0B895981" w14:textId="55FFB0EB" w:rsidR="008B0C75" w:rsidRPr="00C46090" w:rsidRDefault="008B0C75" w:rsidP="00C72B93">
      <w:pPr>
        <w:pStyle w:val="ListParagraph"/>
        <w:numPr>
          <w:ilvl w:val="0"/>
          <w:numId w:val="1"/>
        </w:numPr>
        <w:rPr>
          <w:rFonts w:asciiTheme="majorHAnsi" w:hAnsiTheme="majorHAnsi"/>
          <w:b/>
          <w:sz w:val="22"/>
          <w:szCs w:val="22"/>
        </w:rPr>
      </w:pPr>
      <w:r w:rsidRPr="00C46090">
        <w:rPr>
          <w:rFonts w:asciiTheme="majorHAnsi" w:hAnsiTheme="majorHAnsi"/>
          <w:b/>
          <w:i/>
          <w:sz w:val="22"/>
          <w:szCs w:val="22"/>
          <w:u w:val="single"/>
        </w:rPr>
        <w:t>In re the Marriage of Daisy and Mark P.</w:t>
      </w:r>
      <w:r w:rsidRPr="00C46090">
        <w:rPr>
          <w:rFonts w:asciiTheme="majorHAnsi" w:hAnsiTheme="majorHAnsi"/>
          <w:b/>
          <w:sz w:val="22"/>
          <w:szCs w:val="22"/>
        </w:rPr>
        <w:t xml:space="preserve"> (CA Fourth Appellate District)</w:t>
      </w:r>
      <w:r w:rsidR="00156278" w:rsidRPr="00C46090">
        <w:rPr>
          <w:rFonts w:asciiTheme="majorHAnsi" w:hAnsiTheme="majorHAnsi"/>
          <w:b/>
          <w:sz w:val="22"/>
          <w:szCs w:val="22"/>
        </w:rPr>
        <w:t>,</w:t>
      </w:r>
      <w:r w:rsidRPr="00C46090">
        <w:rPr>
          <w:rFonts w:asciiTheme="majorHAnsi" w:hAnsiTheme="majorHAnsi"/>
          <w:b/>
          <w:sz w:val="22"/>
          <w:szCs w:val="22"/>
        </w:rPr>
        <w:t xml:space="preserve"> filed </w:t>
      </w:r>
      <w:r w:rsidR="00C46090" w:rsidRPr="00C46090">
        <w:rPr>
          <w:rFonts w:asciiTheme="majorHAnsi" w:hAnsiTheme="majorHAnsi"/>
          <w:b/>
          <w:sz w:val="22"/>
          <w:szCs w:val="22"/>
        </w:rPr>
        <w:t>5/28/2019</w:t>
      </w:r>
    </w:p>
    <w:p w14:paraId="2F3B5240" w14:textId="77777777" w:rsidR="008B0C75" w:rsidRPr="00C46090" w:rsidRDefault="008B0C75" w:rsidP="008B0C75">
      <w:pPr>
        <w:rPr>
          <w:rFonts w:asciiTheme="majorHAnsi" w:hAnsiTheme="majorHAnsi"/>
          <w:b/>
          <w:i/>
          <w:sz w:val="22"/>
          <w:szCs w:val="22"/>
        </w:rPr>
      </w:pPr>
      <w:r w:rsidRPr="00C46090">
        <w:rPr>
          <w:rFonts w:asciiTheme="majorHAnsi" w:hAnsiTheme="majorHAnsi"/>
          <w:b/>
          <w:i/>
          <w:sz w:val="22"/>
          <w:szCs w:val="22"/>
        </w:rPr>
        <w:t>Domestic Violence</w:t>
      </w:r>
    </w:p>
    <w:p w14:paraId="11CF376C" w14:textId="6343EC4C" w:rsidR="008B0C75" w:rsidRPr="00C46090" w:rsidRDefault="008B0C75" w:rsidP="008B0C75">
      <w:pPr>
        <w:rPr>
          <w:rFonts w:asciiTheme="majorHAnsi" w:hAnsiTheme="majorHAnsi"/>
          <w:b/>
          <w:sz w:val="22"/>
          <w:szCs w:val="22"/>
        </w:rPr>
      </w:pPr>
      <w:r w:rsidRPr="00C46090">
        <w:rPr>
          <w:rFonts w:asciiTheme="majorHAnsi" w:hAnsiTheme="majorHAnsi"/>
          <w:b/>
          <w:sz w:val="22"/>
          <w:szCs w:val="22"/>
        </w:rPr>
        <w:t>Author: Family Violence Appellate Project</w:t>
      </w:r>
    </w:p>
    <w:p w14:paraId="3FCCF866" w14:textId="35624443" w:rsidR="00685C08" w:rsidRPr="00C46090" w:rsidRDefault="00685C08" w:rsidP="008B0C75">
      <w:pPr>
        <w:rPr>
          <w:rFonts w:asciiTheme="majorHAnsi" w:hAnsiTheme="majorHAnsi"/>
          <w:sz w:val="22"/>
          <w:szCs w:val="22"/>
        </w:rPr>
      </w:pPr>
    </w:p>
    <w:p w14:paraId="23E4BC57" w14:textId="1164DCA9" w:rsidR="003907C6" w:rsidRDefault="00685C08" w:rsidP="00E736B2">
      <w:pPr>
        <w:rPr>
          <w:rFonts w:asciiTheme="majorHAnsi" w:hAnsiTheme="majorHAnsi"/>
          <w:sz w:val="22"/>
          <w:szCs w:val="22"/>
        </w:rPr>
      </w:pPr>
      <w:r w:rsidRPr="00C46090">
        <w:rPr>
          <w:rFonts w:asciiTheme="majorHAnsi" w:hAnsiTheme="majorHAnsi"/>
          <w:sz w:val="22"/>
          <w:szCs w:val="22"/>
        </w:rPr>
        <w:t xml:space="preserve">The </w:t>
      </w:r>
      <w:r w:rsidR="00896DDA" w:rsidRPr="00C46090">
        <w:rPr>
          <w:rFonts w:asciiTheme="majorHAnsi" w:hAnsiTheme="majorHAnsi"/>
          <w:sz w:val="22"/>
          <w:szCs w:val="22"/>
        </w:rPr>
        <w:t xml:space="preserve">amicus letter argues that </w:t>
      </w:r>
      <w:r w:rsidR="00896DDA" w:rsidRPr="00C46090">
        <w:rPr>
          <w:rFonts w:asciiTheme="majorHAnsi" w:hAnsiTheme="majorHAnsi"/>
          <w:i/>
          <w:sz w:val="22"/>
          <w:szCs w:val="22"/>
        </w:rPr>
        <w:t xml:space="preserve">In re the Marriage of Daisy and Mark P. </w:t>
      </w:r>
      <w:r w:rsidRPr="00C46090">
        <w:rPr>
          <w:rFonts w:asciiTheme="majorHAnsi" w:hAnsiTheme="majorHAnsi"/>
          <w:sz w:val="22"/>
          <w:szCs w:val="22"/>
        </w:rPr>
        <w:t xml:space="preserve">should be published as important guidance to </w:t>
      </w:r>
      <w:r w:rsidR="00A72F8D" w:rsidRPr="00C46090">
        <w:rPr>
          <w:rFonts w:asciiTheme="majorHAnsi" w:hAnsiTheme="majorHAnsi"/>
          <w:sz w:val="22"/>
          <w:szCs w:val="22"/>
        </w:rPr>
        <w:t>trial courts</w:t>
      </w:r>
      <w:r w:rsidR="00A72F8D" w:rsidRPr="00C46090">
        <w:rPr>
          <w:rFonts w:asciiTheme="majorHAnsi" w:hAnsiTheme="majorHAnsi"/>
          <w:b/>
          <w:sz w:val="22"/>
          <w:szCs w:val="22"/>
        </w:rPr>
        <w:t xml:space="preserve"> </w:t>
      </w:r>
      <w:r w:rsidR="00A72F8D" w:rsidRPr="00C46090">
        <w:rPr>
          <w:rFonts w:asciiTheme="majorHAnsi" w:hAnsiTheme="majorHAnsi"/>
          <w:sz w:val="22"/>
          <w:szCs w:val="22"/>
        </w:rPr>
        <w:t xml:space="preserve">because it makes two significant contributions to domestic violence law. First, this case would be the first published opinion to address the res judicata doctrine in the context of a subsequent request for a Domestic Violence Restraining Order. </w:t>
      </w:r>
      <w:r w:rsidR="00896DDA" w:rsidRPr="00C46090">
        <w:rPr>
          <w:rFonts w:asciiTheme="majorHAnsi" w:hAnsiTheme="majorHAnsi"/>
          <w:sz w:val="22"/>
          <w:szCs w:val="22"/>
        </w:rPr>
        <w:t>Amici argue that t</w:t>
      </w:r>
      <w:r w:rsidR="00A72F8D" w:rsidRPr="00C46090">
        <w:rPr>
          <w:rFonts w:asciiTheme="majorHAnsi" w:hAnsiTheme="majorHAnsi"/>
          <w:sz w:val="22"/>
          <w:szCs w:val="22"/>
        </w:rPr>
        <w:t xml:space="preserve">his opinion would clarify that the doctrine does not apply when an earlier Domestic Violence Restraining Order hearing was unfair, brief, and confused. Second, </w:t>
      </w:r>
      <w:r w:rsidR="00896DDA" w:rsidRPr="00C46090">
        <w:rPr>
          <w:rFonts w:asciiTheme="majorHAnsi" w:hAnsiTheme="majorHAnsi"/>
          <w:sz w:val="22"/>
          <w:szCs w:val="22"/>
        </w:rPr>
        <w:t xml:space="preserve">publication </w:t>
      </w:r>
      <w:r w:rsidR="003907C6" w:rsidRPr="00C46090">
        <w:rPr>
          <w:rFonts w:asciiTheme="majorHAnsi" w:hAnsiTheme="majorHAnsi"/>
          <w:sz w:val="22"/>
          <w:szCs w:val="22"/>
        </w:rPr>
        <w:t xml:space="preserve">would oblige lower courts to be more proactive and flexible in </w:t>
      </w:r>
      <w:r w:rsidR="003907C6" w:rsidRPr="00C46090">
        <w:rPr>
          <w:rFonts w:asciiTheme="majorHAnsi" w:hAnsiTheme="majorHAnsi"/>
          <w:i/>
          <w:sz w:val="22"/>
          <w:szCs w:val="22"/>
        </w:rPr>
        <w:t>pro per</w:t>
      </w:r>
      <w:r w:rsidR="003907C6" w:rsidRPr="00C46090">
        <w:rPr>
          <w:rFonts w:asciiTheme="majorHAnsi" w:hAnsiTheme="majorHAnsi"/>
          <w:sz w:val="22"/>
          <w:szCs w:val="22"/>
        </w:rPr>
        <w:t xml:space="preserve"> cases. T</w:t>
      </w:r>
      <w:r w:rsidR="00896DDA" w:rsidRPr="00C46090">
        <w:rPr>
          <w:rFonts w:asciiTheme="majorHAnsi" w:hAnsiTheme="majorHAnsi"/>
          <w:sz w:val="22"/>
          <w:szCs w:val="22"/>
        </w:rPr>
        <w:t>he letter further argues that t</w:t>
      </w:r>
      <w:r w:rsidR="003907C6" w:rsidRPr="00C46090">
        <w:rPr>
          <w:rFonts w:asciiTheme="majorHAnsi" w:hAnsiTheme="majorHAnsi"/>
          <w:sz w:val="22"/>
          <w:szCs w:val="22"/>
        </w:rPr>
        <w:t xml:space="preserve">his guidance is critical, </w:t>
      </w:r>
      <w:r w:rsidR="00E736B2" w:rsidRPr="00C46090">
        <w:rPr>
          <w:rFonts w:asciiTheme="majorHAnsi" w:hAnsiTheme="majorHAnsi"/>
          <w:sz w:val="22"/>
          <w:szCs w:val="22"/>
        </w:rPr>
        <w:t>particularly</w:t>
      </w:r>
      <w:r w:rsidR="003907C6" w:rsidRPr="00C46090">
        <w:rPr>
          <w:rFonts w:asciiTheme="majorHAnsi" w:hAnsiTheme="majorHAnsi"/>
          <w:sz w:val="22"/>
          <w:szCs w:val="22"/>
        </w:rPr>
        <w:t xml:space="preserve"> considering </w:t>
      </w:r>
      <w:r w:rsidR="00E736B2" w:rsidRPr="00C46090">
        <w:rPr>
          <w:rFonts w:asciiTheme="majorHAnsi" w:hAnsiTheme="majorHAnsi"/>
          <w:sz w:val="22"/>
          <w:szCs w:val="22"/>
        </w:rPr>
        <w:t xml:space="preserve">the inexperience and language barriers domestic violence survivors often face in court. Lastly, the </w:t>
      </w:r>
      <w:r w:rsidR="00896DDA" w:rsidRPr="00C46090">
        <w:rPr>
          <w:rFonts w:asciiTheme="majorHAnsi" w:hAnsiTheme="majorHAnsi"/>
          <w:sz w:val="22"/>
          <w:szCs w:val="22"/>
        </w:rPr>
        <w:t>letter</w:t>
      </w:r>
      <w:r w:rsidR="00E736B2" w:rsidRPr="00C46090">
        <w:rPr>
          <w:rFonts w:asciiTheme="majorHAnsi" w:hAnsiTheme="majorHAnsi"/>
          <w:sz w:val="22"/>
          <w:szCs w:val="22"/>
        </w:rPr>
        <w:t xml:space="preserve"> emphasizes that domestic violence is an issue of continuing public interest, supporting publication.</w:t>
      </w:r>
    </w:p>
    <w:p w14:paraId="657208BF" w14:textId="62C680EB" w:rsidR="00301C6E" w:rsidRDefault="00301C6E" w:rsidP="00E736B2">
      <w:pPr>
        <w:rPr>
          <w:rFonts w:asciiTheme="majorHAnsi" w:hAnsiTheme="majorHAnsi"/>
          <w:sz w:val="22"/>
          <w:szCs w:val="22"/>
        </w:rPr>
      </w:pPr>
    </w:p>
    <w:p w14:paraId="744CA909" w14:textId="7A2C8E32" w:rsidR="00301C6E" w:rsidRPr="003907C6" w:rsidRDefault="00301C6E" w:rsidP="00E736B2">
      <w:pPr>
        <w:rPr>
          <w:rFonts w:asciiTheme="majorHAnsi" w:hAnsiTheme="majorHAnsi"/>
          <w:sz w:val="22"/>
          <w:szCs w:val="22"/>
        </w:rPr>
      </w:pPr>
      <w:r>
        <w:rPr>
          <w:rFonts w:asciiTheme="majorHAnsi" w:hAnsiTheme="majorHAnsi"/>
          <w:sz w:val="22"/>
          <w:szCs w:val="22"/>
        </w:rPr>
        <w:t>The court denied the request for publication on July 16, 2019.</w:t>
      </w:r>
    </w:p>
    <w:p w14:paraId="16EF5679" w14:textId="76D51261" w:rsidR="003907C6" w:rsidRPr="00C46090" w:rsidRDefault="003907C6" w:rsidP="008B0C75">
      <w:pPr>
        <w:rPr>
          <w:rFonts w:asciiTheme="majorHAnsi" w:hAnsiTheme="majorHAnsi"/>
          <w:sz w:val="22"/>
          <w:szCs w:val="22"/>
        </w:rPr>
      </w:pPr>
    </w:p>
    <w:p w14:paraId="73215250" w14:textId="3896BEC1" w:rsidR="00685C08" w:rsidRPr="00C46090" w:rsidRDefault="00BA2606" w:rsidP="00C72B93">
      <w:pPr>
        <w:pStyle w:val="ListParagraph"/>
        <w:numPr>
          <w:ilvl w:val="0"/>
          <w:numId w:val="1"/>
        </w:numPr>
        <w:rPr>
          <w:rFonts w:asciiTheme="majorHAnsi" w:hAnsiTheme="majorHAnsi"/>
          <w:b/>
          <w:sz w:val="22"/>
          <w:szCs w:val="22"/>
          <w:u w:val="single"/>
        </w:rPr>
      </w:pPr>
      <w:r w:rsidRPr="00C46090">
        <w:rPr>
          <w:rFonts w:asciiTheme="majorHAnsi" w:hAnsiTheme="majorHAnsi"/>
          <w:b/>
          <w:i/>
          <w:sz w:val="22"/>
          <w:szCs w:val="22"/>
          <w:u w:val="single"/>
        </w:rPr>
        <w:t xml:space="preserve">Lauren </w:t>
      </w:r>
      <w:proofErr w:type="spellStart"/>
      <w:r w:rsidR="00685C08" w:rsidRPr="00C46090">
        <w:rPr>
          <w:rFonts w:asciiTheme="majorHAnsi" w:hAnsiTheme="majorHAnsi"/>
          <w:b/>
          <w:i/>
          <w:sz w:val="22"/>
          <w:szCs w:val="22"/>
          <w:u w:val="single"/>
        </w:rPr>
        <w:t>Ke</w:t>
      </w:r>
      <w:r w:rsidR="00710EC2">
        <w:rPr>
          <w:rFonts w:asciiTheme="majorHAnsi" w:hAnsiTheme="majorHAnsi"/>
          <w:b/>
          <w:i/>
          <w:sz w:val="22"/>
          <w:szCs w:val="22"/>
          <w:u w:val="single"/>
        </w:rPr>
        <w:t>s</w:t>
      </w:r>
      <w:r w:rsidR="00685C08" w:rsidRPr="00C46090">
        <w:rPr>
          <w:rFonts w:asciiTheme="majorHAnsi" w:hAnsiTheme="majorHAnsi"/>
          <w:b/>
          <w:i/>
          <w:sz w:val="22"/>
          <w:szCs w:val="22"/>
          <w:u w:val="single"/>
        </w:rPr>
        <w:t>terson</w:t>
      </w:r>
      <w:proofErr w:type="spellEnd"/>
      <w:r w:rsidRPr="00C46090">
        <w:rPr>
          <w:rFonts w:asciiTheme="majorHAnsi" w:hAnsiTheme="majorHAnsi"/>
          <w:b/>
          <w:i/>
          <w:sz w:val="22"/>
          <w:szCs w:val="22"/>
          <w:u w:val="single"/>
        </w:rPr>
        <w:t xml:space="preserve"> v. Kent State University, et. al.</w:t>
      </w:r>
      <w:r w:rsidRPr="00C46090">
        <w:rPr>
          <w:rFonts w:asciiTheme="majorHAnsi" w:hAnsiTheme="majorHAnsi"/>
          <w:b/>
          <w:sz w:val="22"/>
          <w:szCs w:val="22"/>
        </w:rPr>
        <w:t xml:space="preserve"> (Sixth Circuit), filed 6/4/2019</w:t>
      </w:r>
    </w:p>
    <w:p w14:paraId="2CC5F16E" w14:textId="55AF5A01" w:rsidR="00D96F33" w:rsidRPr="00C46090" w:rsidRDefault="00D96F33" w:rsidP="00D96F33">
      <w:pPr>
        <w:rPr>
          <w:rFonts w:asciiTheme="majorHAnsi" w:hAnsiTheme="majorHAnsi"/>
          <w:b/>
          <w:i/>
          <w:sz w:val="22"/>
          <w:szCs w:val="22"/>
        </w:rPr>
      </w:pPr>
      <w:r w:rsidRPr="00C46090">
        <w:rPr>
          <w:rFonts w:asciiTheme="majorHAnsi" w:hAnsiTheme="majorHAnsi"/>
          <w:b/>
          <w:i/>
          <w:sz w:val="22"/>
          <w:szCs w:val="22"/>
        </w:rPr>
        <w:t>Sexual Assault</w:t>
      </w:r>
    </w:p>
    <w:p w14:paraId="4B2ABBBF" w14:textId="431CCB3B" w:rsidR="00D96F33" w:rsidRPr="00C46090" w:rsidRDefault="00D96F33" w:rsidP="00D96F33">
      <w:pPr>
        <w:rPr>
          <w:rFonts w:asciiTheme="majorHAnsi" w:hAnsiTheme="majorHAnsi"/>
          <w:b/>
          <w:sz w:val="22"/>
          <w:szCs w:val="22"/>
        </w:rPr>
      </w:pPr>
      <w:r w:rsidRPr="00C46090">
        <w:rPr>
          <w:rFonts w:asciiTheme="majorHAnsi" w:hAnsiTheme="majorHAnsi"/>
          <w:b/>
          <w:sz w:val="22"/>
          <w:szCs w:val="22"/>
        </w:rPr>
        <w:t>Author: National Women’s Law Center</w:t>
      </w:r>
    </w:p>
    <w:p w14:paraId="42AD725F" w14:textId="13097B7C" w:rsidR="00D96F33" w:rsidRPr="00C46090" w:rsidRDefault="00D96F33" w:rsidP="00D96F33">
      <w:pPr>
        <w:rPr>
          <w:rFonts w:asciiTheme="majorHAnsi" w:hAnsiTheme="majorHAnsi"/>
          <w:b/>
          <w:sz w:val="22"/>
          <w:szCs w:val="22"/>
        </w:rPr>
      </w:pPr>
    </w:p>
    <w:p w14:paraId="3298FBD2" w14:textId="5A6E5032" w:rsidR="00894F83" w:rsidRDefault="00D96F33" w:rsidP="00D96F33">
      <w:pPr>
        <w:rPr>
          <w:rFonts w:asciiTheme="majorHAnsi" w:hAnsiTheme="majorHAnsi"/>
          <w:sz w:val="22"/>
          <w:szCs w:val="22"/>
        </w:rPr>
      </w:pPr>
      <w:r w:rsidRPr="00C46090">
        <w:rPr>
          <w:rFonts w:asciiTheme="majorHAnsi" w:hAnsiTheme="majorHAnsi"/>
          <w:sz w:val="22"/>
          <w:szCs w:val="22"/>
        </w:rPr>
        <w:t xml:space="preserve">The amicus brief asks the court to clarify that the “appropriate person” test </w:t>
      </w:r>
      <w:r w:rsidR="00896DDA" w:rsidRPr="00C46090">
        <w:rPr>
          <w:rFonts w:asciiTheme="majorHAnsi" w:hAnsiTheme="majorHAnsi"/>
          <w:sz w:val="22"/>
          <w:szCs w:val="22"/>
        </w:rPr>
        <w:t xml:space="preserve">used in employee-on-student sexual harassment cases </w:t>
      </w:r>
      <w:r w:rsidRPr="00C46090">
        <w:rPr>
          <w:rFonts w:asciiTheme="majorHAnsi" w:hAnsiTheme="majorHAnsi"/>
          <w:sz w:val="22"/>
          <w:szCs w:val="22"/>
        </w:rPr>
        <w:t>does not apply to peer harassment cases</w:t>
      </w:r>
      <w:r w:rsidR="003D2197" w:rsidRPr="00C46090">
        <w:rPr>
          <w:rFonts w:asciiTheme="majorHAnsi" w:hAnsiTheme="majorHAnsi"/>
          <w:sz w:val="22"/>
          <w:szCs w:val="22"/>
        </w:rPr>
        <w:t>. The</w:t>
      </w:r>
      <w:r w:rsidR="005C6596" w:rsidRPr="00C46090">
        <w:rPr>
          <w:rFonts w:asciiTheme="majorHAnsi" w:hAnsiTheme="majorHAnsi"/>
          <w:sz w:val="22"/>
          <w:szCs w:val="22"/>
        </w:rPr>
        <w:t xml:space="preserve"> “appropriate person” </w:t>
      </w:r>
      <w:r w:rsidR="003D2197" w:rsidRPr="00C46090">
        <w:rPr>
          <w:rFonts w:asciiTheme="majorHAnsi" w:hAnsiTheme="majorHAnsi"/>
          <w:sz w:val="22"/>
          <w:szCs w:val="22"/>
        </w:rPr>
        <w:t xml:space="preserve">standard </w:t>
      </w:r>
      <w:r w:rsidR="00441A2B" w:rsidRPr="00C46090">
        <w:rPr>
          <w:rFonts w:asciiTheme="majorHAnsi" w:hAnsiTheme="majorHAnsi"/>
          <w:sz w:val="22"/>
          <w:szCs w:val="22"/>
        </w:rPr>
        <w:t>considers</w:t>
      </w:r>
      <w:r w:rsidR="003D2197" w:rsidRPr="00C46090">
        <w:rPr>
          <w:rFonts w:asciiTheme="majorHAnsi" w:hAnsiTheme="majorHAnsi"/>
          <w:sz w:val="22"/>
          <w:szCs w:val="22"/>
        </w:rPr>
        <w:t xml:space="preserve"> an institution </w:t>
      </w:r>
      <w:r w:rsidR="00441A2B" w:rsidRPr="00C46090">
        <w:rPr>
          <w:rFonts w:asciiTheme="majorHAnsi" w:hAnsiTheme="majorHAnsi"/>
          <w:sz w:val="22"/>
          <w:szCs w:val="22"/>
        </w:rPr>
        <w:t>to have</w:t>
      </w:r>
      <w:r w:rsidR="003D2197" w:rsidRPr="00C46090">
        <w:rPr>
          <w:rFonts w:asciiTheme="majorHAnsi" w:hAnsiTheme="majorHAnsi"/>
          <w:sz w:val="22"/>
          <w:szCs w:val="22"/>
        </w:rPr>
        <w:t xml:space="preserve"> “actual knowledge” of </w:t>
      </w:r>
      <w:r w:rsidR="00DD7DCA" w:rsidRPr="00C46090">
        <w:rPr>
          <w:rFonts w:asciiTheme="majorHAnsi" w:hAnsiTheme="majorHAnsi"/>
          <w:sz w:val="22"/>
          <w:szCs w:val="22"/>
        </w:rPr>
        <w:t>employee-on-student sexual harassment</w:t>
      </w:r>
      <w:r w:rsidR="003D2197" w:rsidRPr="00C46090">
        <w:rPr>
          <w:rFonts w:asciiTheme="majorHAnsi" w:hAnsiTheme="majorHAnsi"/>
          <w:sz w:val="22"/>
          <w:szCs w:val="22"/>
        </w:rPr>
        <w:t xml:space="preserve"> when a school official </w:t>
      </w:r>
      <w:r w:rsidR="00D80F00" w:rsidRPr="00C46090">
        <w:rPr>
          <w:rFonts w:asciiTheme="majorHAnsi" w:hAnsiTheme="majorHAnsi"/>
          <w:sz w:val="22"/>
          <w:szCs w:val="22"/>
        </w:rPr>
        <w:t>with</w:t>
      </w:r>
      <w:r w:rsidR="003D2197" w:rsidRPr="00C46090">
        <w:rPr>
          <w:rFonts w:asciiTheme="majorHAnsi" w:hAnsiTheme="majorHAnsi"/>
          <w:sz w:val="22"/>
          <w:szCs w:val="22"/>
        </w:rPr>
        <w:t xml:space="preserve"> the authority to </w:t>
      </w:r>
      <w:r w:rsidR="00896DDA" w:rsidRPr="00C46090">
        <w:rPr>
          <w:rFonts w:asciiTheme="majorHAnsi" w:hAnsiTheme="majorHAnsi"/>
          <w:sz w:val="22"/>
          <w:szCs w:val="22"/>
        </w:rPr>
        <w:t>take corrective measures</w:t>
      </w:r>
      <w:r w:rsidR="003D2197" w:rsidRPr="00C46090">
        <w:rPr>
          <w:rFonts w:asciiTheme="majorHAnsi" w:hAnsiTheme="majorHAnsi"/>
          <w:sz w:val="22"/>
          <w:szCs w:val="22"/>
        </w:rPr>
        <w:t xml:space="preserve"> is notified of </w:t>
      </w:r>
      <w:r w:rsidR="004F657D" w:rsidRPr="00C46090">
        <w:rPr>
          <w:rFonts w:asciiTheme="majorHAnsi" w:hAnsiTheme="majorHAnsi"/>
          <w:sz w:val="22"/>
          <w:szCs w:val="22"/>
        </w:rPr>
        <w:t>such</w:t>
      </w:r>
      <w:r w:rsidR="003D2197" w:rsidRPr="00C46090">
        <w:rPr>
          <w:rFonts w:asciiTheme="majorHAnsi" w:hAnsiTheme="majorHAnsi"/>
          <w:sz w:val="22"/>
          <w:szCs w:val="22"/>
        </w:rPr>
        <w:t xml:space="preserve"> behavior.</w:t>
      </w:r>
      <w:r w:rsidR="004F657D" w:rsidRPr="00C46090">
        <w:rPr>
          <w:rFonts w:asciiTheme="majorHAnsi" w:hAnsiTheme="majorHAnsi"/>
          <w:sz w:val="22"/>
          <w:szCs w:val="22"/>
        </w:rPr>
        <w:t xml:space="preserve"> </w:t>
      </w:r>
      <w:r w:rsidR="00896DDA" w:rsidRPr="00C46090">
        <w:rPr>
          <w:rFonts w:asciiTheme="majorHAnsi" w:hAnsiTheme="majorHAnsi"/>
          <w:sz w:val="22"/>
          <w:szCs w:val="22"/>
        </w:rPr>
        <w:t>A</w:t>
      </w:r>
      <w:r w:rsidR="004F657D" w:rsidRPr="00C46090">
        <w:rPr>
          <w:rFonts w:asciiTheme="majorHAnsi" w:hAnsiTheme="majorHAnsi"/>
          <w:sz w:val="22"/>
          <w:szCs w:val="22"/>
        </w:rPr>
        <w:t xml:space="preserve">mici emphasize that the Sixth Circuit in </w:t>
      </w:r>
      <w:r w:rsidR="004F657D" w:rsidRPr="00C46090">
        <w:rPr>
          <w:rFonts w:asciiTheme="majorHAnsi" w:hAnsiTheme="majorHAnsi"/>
          <w:i/>
          <w:sz w:val="22"/>
          <w:szCs w:val="22"/>
        </w:rPr>
        <w:t>Davis</w:t>
      </w:r>
      <w:r w:rsidR="00DD7DCA" w:rsidRPr="00C46090">
        <w:rPr>
          <w:rFonts w:asciiTheme="majorHAnsi" w:hAnsiTheme="majorHAnsi"/>
          <w:sz w:val="22"/>
          <w:szCs w:val="22"/>
        </w:rPr>
        <w:t xml:space="preserve"> </w:t>
      </w:r>
      <w:r w:rsidR="00DD7DCA" w:rsidRPr="00C46090">
        <w:rPr>
          <w:rFonts w:asciiTheme="majorHAnsi" w:hAnsiTheme="majorHAnsi"/>
          <w:i/>
          <w:sz w:val="22"/>
          <w:szCs w:val="22"/>
        </w:rPr>
        <w:t xml:space="preserve">v. Monroe </w:t>
      </w:r>
      <w:proofErr w:type="spellStart"/>
      <w:r w:rsidR="00DD7DCA" w:rsidRPr="00C46090">
        <w:rPr>
          <w:rFonts w:asciiTheme="majorHAnsi" w:hAnsiTheme="majorHAnsi"/>
          <w:i/>
          <w:sz w:val="22"/>
          <w:szCs w:val="22"/>
        </w:rPr>
        <w:t>Cty</w:t>
      </w:r>
      <w:proofErr w:type="spellEnd"/>
      <w:r w:rsidR="00DD7DCA" w:rsidRPr="00C46090">
        <w:rPr>
          <w:rFonts w:asciiTheme="majorHAnsi" w:hAnsiTheme="majorHAnsi"/>
          <w:i/>
          <w:sz w:val="22"/>
          <w:szCs w:val="22"/>
        </w:rPr>
        <w:t xml:space="preserve">. Bd. Of Educ. </w:t>
      </w:r>
      <w:r w:rsidR="004F657D" w:rsidRPr="00C46090">
        <w:rPr>
          <w:rFonts w:asciiTheme="majorHAnsi" w:hAnsiTheme="majorHAnsi"/>
          <w:sz w:val="22"/>
          <w:szCs w:val="22"/>
        </w:rPr>
        <w:t xml:space="preserve">did not </w:t>
      </w:r>
      <w:r w:rsidR="00DD7DCA" w:rsidRPr="00C46090">
        <w:rPr>
          <w:rFonts w:asciiTheme="majorHAnsi" w:hAnsiTheme="majorHAnsi"/>
          <w:sz w:val="22"/>
          <w:szCs w:val="22"/>
        </w:rPr>
        <w:t xml:space="preserve">require an “appropriate person” </w:t>
      </w:r>
      <w:r w:rsidR="00896DDA" w:rsidRPr="00C46090">
        <w:rPr>
          <w:rFonts w:asciiTheme="majorHAnsi" w:hAnsiTheme="majorHAnsi"/>
          <w:sz w:val="22"/>
          <w:szCs w:val="22"/>
        </w:rPr>
        <w:t xml:space="preserve">to </w:t>
      </w:r>
      <w:r w:rsidR="00DD7DCA" w:rsidRPr="00C46090">
        <w:rPr>
          <w:rFonts w:asciiTheme="majorHAnsi" w:hAnsiTheme="majorHAnsi"/>
          <w:sz w:val="22"/>
          <w:szCs w:val="22"/>
        </w:rPr>
        <w:t>have actual knowledge</w:t>
      </w:r>
      <w:r w:rsidR="00894F83" w:rsidRPr="00C46090">
        <w:rPr>
          <w:rFonts w:asciiTheme="majorHAnsi" w:hAnsiTheme="majorHAnsi"/>
          <w:sz w:val="22"/>
          <w:szCs w:val="22"/>
        </w:rPr>
        <w:t xml:space="preserve"> </w:t>
      </w:r>
      <w:r w:rsidR="00DD7DCA" w:rsidRPr="00C46090">
        <w:rPr>
          <w:rFonts w:asciiTheme="majorHAnsi" w:hAnsiTheme="majorHAnsi"/>
          <w:sz w:val="22"/>
          <w:szCs w:val="22"/>
        </w:rPr>
        <w:t>in student-on-student sexual harassment cases to establish a Title IX claim.</w:t>
      </w:r>
      <w:r w:rsidR="00894F83" w:rsidRPr="00C46090">
        <w:rPr>
          <w:rFonts w:asciiTheme="majorHAnsi" w:hAnsiTheme="majorHAnsi"/>
          <w:sz w:val="22"/>
          <w:szCs w:val="22"/>
        </w:rPr>
        <w:t xml:space="preserve"> The brief further argues that many Circuits, including the Sixth, recognize a</w:t>
      </w:r>
      <w:r w:rsidR="00DD7DCA" w:rsidRPr="00C46090">
        <w:rPr>
          <w:rFonts w:asciiTheme="majorHAnsi" w:hAnsiTheme="majorHAnsi"/>
          <w:sz w:val="22"/>
          <w:szCs w:val="22"/>
        </w:rPr>
        <w:t xml:space="preserve">ctual knowledge by a wide variety of school employees </w:t>
      </w:r>
      <w:r w:rsidR="00D80F00" w:rsidRPr="00C46090">
        <w:rPr>
          <w:rFonts w:asciiTheme="majorHAnsi" w:hAnsiTheme="majorHAnsi"/>
          <w:sz w:val="22"/>
          <w:szCs w:val="22"/>
        </w:rPr>
        <w:t>a</w:t>
      </w:r>
      <w:r w:rsidR="00DD7DCA" w:rsidRPr="00C46090">
        <w:rPr>
          <w:rFonts w:asciiTheme="majorHAnsi" w:hAnsiTheme="majorHAnsi"/>
          <w:sz w:val="22"/>
          <w:szCs w:val="22"/>
        </w:rPr>
        <w:t>s sufficient to trigger a school’s duty to respond</w:t>
      </w:r>
      <w:r w:rsidR="00894F83" w:rsidRPr="00C46090">
        <w:rPr>
          <w:rFonts w:asciiTheme="majorHAnsi" w:hAnsiTheme="majorHAnsi"/>
          <w:sz w:val="22"/>
          <w:szCs w:val="22"/>
        </w:rPr>
        <w:t xml:space="preserve">. </w:t>
      </w:r>
      <w:r w:rsidR="00896DDA" w:rsidRPr="00C46090">
        <w:rPr>
          <w:rFonts w:asciiTheme="majorHAnsi" w:hAnsiTheme="majorHAnsi"/>
          <w:sz w:val="22"/>
          <w:szCs w:val="22"/>
        </w:rPr>
        <w:t>Amici argue</w:t>
      </w:r>
      <w:r w:rsidR="00894F83" w:rsidRPr="00C46090">
        <w:rPr>
          <w:rFonts w:asciiTheme="majorHAnsi" w:hAnsiTheme="majorHAnsi"/>
          <w:sz w:val="22"/>
          <w:szCs w:val="22"/>
        </w:rPr>
        <w:t xml:space="preserve"> that the plaintiff here met the “actual knowledge” threshold, contrary to the district court’s finding, by notifying her softball coach, two assistant coaches, her academic counselor, and the executive director of the Office of Sexual and Relationship Violence Support Services that she had been sexually assaulted. Further, amici argue that </w:t>
      </w:r>
      <w:r w:rsidR="00D80F00" w:rsidRPr="00C46090">
        <w:rPr>
          <w:rFonts w:asciiTheme="majorHAnsi" w:hAnsiTheme="majorHAnsi"/>
          <w:sz w:val="22"/>
          <w:szCs w:val="22"/>
        </w:rPr>
        <w:t xml:space="preserve">imposing an “appropriate person” test in student-on-student sexual </w:t>
      </w:r>
      <w:r w:rsidR="00D80F00" w:rsidRPr="00C46090">
        <w:rPr>
          <w:rFonts w:asciiTheme="majorHAnsi" w:hAnsiTheme="majorHAnsi"/>
          <w:sz w:val="22"/>
          <w:szCs w:val="22"/>
        </w:rPr>
        <w:lastRenderedPageBreak/>
        <w:t xml:space="preserve">harassment cases is contrary to the purpose of Title IX because it allows school employees who are necessary to a school’s Title IX response to suppress reports of rape, insulating the school from damages liability. Conversely, the </w:t>
      </w:r>
      <w:r w:rsidR="00896DDA" w:rsidRPr="00C46090">
        <w:rPr>
          <w:rFonts w:asciiTheme="majorHAnsi" w:hAnsiTheme="majorHAnsi"/>
          <w:sz w:val="22"/>
          <w:szCs w:val="22"/>
        </w:rPr>
        <w:t>brief highlights</w:t>
      </w:r>
      <w:r w:rsidR="00D80F00" w:rsidRPr="00C46090">
        <w:rPr>
          <w:rFonts w:asciiTheme="majorHAnsi" w:hAnsiTheme="majorHAnsi"/>
          <w:sz w:val="22"/>
          <w:szCs w:val="22"/>
        </w:rPr>
        <w:t xml:space="preserve"> that the purpose of Title IX is to protect individuals from sex discrimination in education. Lastly, </w:t>
      </w:r>
      <w:r w:rsidR="0039145E">
        <w:rPr>
          <w:rFonts w:asciiTheme="majorHAnsi" w:hAnsiTheme="majorHAnsi"/>
          <w:sz w:val="22"/>
          <w:szCs w:val="22"/>
        </w:rPr>
        <w:t>it</w:t>
      </w:r>
      <w:r w:rsidR="00D80F00" w:rsidRPr="00C46090">
        <w:rPr>
          <w:rFonts w:asciiTheme="majorHAnsi" w:hAnsiTheme="majorHAnsi"/>
          <w:sz w:val="22"/>
          <w:szCs w:val="22"/>
        </w:rPr>
        <w:t xml:space="preserve"> argues that, even if the appropriate person standard is applied, the university had actual knowledge because </w:t>
      </w:r>
      <w:r w:rsidR="00C0770E" w:rsidRPr="00C46090">
        <w:rPr>
          <w:rFonts w:asciiTheme="majorHAnsi" w:hAnsiTheme="majorHAnsi"/>
          <w:sz w:val="22"/>
          <w:szCs w:val="22"/>
        </w:rPr>
        <w:t>the plaintiff reported her sexual assault to her softball coach, who was a university official required to report sexual assault to the Title IX office and, therefore, is an appropriate person with the authority to take corrective measures.</w:t>
      </w:r>
    </w:p>
    <w:p w14:paraId="55077C4F" w14:textId="1B38BCFE" w:rsidR="00301C6E" w:rsidRDefault="00301C6E" w:rsidP="00D96F33">
      <w:pPr>
        <w:rPr>
          <w:rFonts w:asciiTheme="majorHAnsi" w:hAnsiTheme="majorHAnsi"/>
          <w:sz w:val="22"/>
          <w:szCs w:val="22"/>
        </w:rPr>
      </w:pPr>
    </w:p>
    <w:p w14:paraId="6AB70B07" w14:textId="23E10798" w:rsidR="00301C6E" w:rsidRDefault="00301C6E" w:rsidP="00D96F33">
      <w:pPr>
        <w:rPr>
          <w:rFonts w:asciiTheme="majorHAnsi" w:hAnsiTheme="majorHAnsi"/>
          <w:sz w:val="22"/>
          <w:szCs w:val="22"/>
        </w:rPr>
      </w:pPr>
      <w:r>
        <w:rPr>
          <w:rFonts w:asciiTheme="majorHAnsi" w:hAnsiTheme="majorHAnsi"/>
          <w:sz w:val="22"/>
          <w:szCs w:val="22"/>
        </w:rPr>
        <w:t xml:space="preserve">Oral argument occurred October 23, 2019. </w:t>
      </w:r>
    </w:p>
    <w:p w14:paraId="0AED12CF" w14:textId="43F758B4" w:rsidR="00F016D5" w:rsidRDefault="00F016D5" w:rsidP="00D96F33">
      <w:pPr>
        <w:rPr>
          <w:rFonts w:asciiTheme="majorHAnsi" w:hAnsiTheme="majorHAnsi"/>
          <w:sz w:val="22"/>
          <w:szCs w:val="22"/>
        </w:rPr>
      </w:pPr>
    </w:p>
    <w:p w14:paraId="04223B91" w14:textId="77777777" w:rsidR="00F016D5" w:rsidRPr="002E7248" w:rsidRDefault="00F016D5" w:rsidP="00F016D5">
      <w:pPr>
        <w:pStyle w:val="ListParagraph"/>
        <w:numPr>
          <w:ilvl w:val="0"/>
          <w:numId w:val="1"/>
        </w:numPr>
        <w:rPr>
          <w:rFonts w:asciiTheme="majorHAnsi" w:hAnsiTheme="majorHAnsi"/>
          <w:sz w:val="22"/>
          <w:szCs w:val="22"/>
        </w:rPr>
      </w:pPr>
      <w:r>
        <w:rPr>
          <w:rFonts w:asciiTheme="majorHAnsi" w:hAnsiTheme="majorHAnsi"/>
          <w:b/>
          <w:i/>
          <w:sz w:val="22"/>
          <w:szCs w:val="22"/>
          <w:u w:val="single"/>
        </w:rPr>
        <w:t xml:space="preserve">Bostock v. Clayton County, Georgia, </w:t>
      </w:r>
      <w:r>
        <w:rPr>
          <w:rFonts w:asciiTheme="majorHAnsi" w:hAnsiTheme="majorHAnsi"/>
          <w:b/>
          <w:sz w:val="22"/>
          <w:szCs w:val="22"/>
        </w:rPr>
        <w:t>(Supreme Court), filed 7/3/19</w:t>
      </w:r>
    </w:p>
    <w:p w14:paraId="3053CC99" w14:textId="77777777" w:rsidR="00F016D5" w:rsidRDefault="00F016D5" w:rsidP="00F016D5">
      <w:pPr>
        <w:ind w:left="360"/>
        <w:rPr>
          <w:rFonts w:asciiTheme="majorHAnsi" w:hAnsiTheme="majorHAnsi"/>
          <w:b/>
          <w:i/>
          <w:sz w:val="22"/>
          <w:szCs w:val="22"/>
        </w:rPr>
      </w:pPr>
      <w:r>
        <w:rPr>
          <w:rFonts w:asciiTheme="majorHAnsi" w:hAnsiTheme="majorHAnsi"/>
          <w:b/>
          <w:i/>
          <w:sz w:val="22"/>
          <w:szCs w:val="22"/>
        </w:rPr>
        <w:t>Sexual Orientation and Gender Identity Discrimination</w:t>
      </w:r>
    </w:p>
    <w:p w14:paraId="19DCC66B" w14:textId="77777777" w:rsidR="00F016D5" w:rsidRDefault="00F016D5" w:rsidP="00F016D5">
      <w:pPr>
        <w:ind w:left="360"/>
        <w:rPr>
          <w:rFonts w:asciiTheme="majorHAnsi" w:hAnsiTheme="majorHAnsi"/>
          <w:b/>
          <w:sz w:val="22"/>
          <w:szCs w:val="22"/>
        </w:rPr>
      </w:pPr>
      <w:r>
        <w:rPr>
          <w:rFonts w:asciiTheme="majorHAnsi" w:hAnsiTheme="majorHAnsi"/>
          <w:b/>
          <w:sz w:val="22"/>
          <w:szCs w:val="22"/>
        </w:rPr>
        <w:t xml:space="preserve">Author: National Women’s Law Center </w:t>
      </w:r>
    </w:p>
    <w:p w14:paraId="45B4ADFB" w14:textId="77777777" w:rsidR="00F016D5" w:rsidRDefault="00F016D5" w:rsidP="00F016D5">
      <w:pPr>
        <w:ind w:left="360"/>
        <w:rPr>
          <w:rFonts w:asciiTheme="majorHAnsi" w:hAnsiTheme="majorHAnsi"/>
          <w:b/>
          <w:sz w:val="22"/>
          <w:szCs w:val="22"/>
        </w:rPr>
      </w:pPr>
    </w:p>
    <w:p w14:paraId="3F8353BB" w14:textId="77777777" w:rsidR="00F016D5" w:rsidRDefault="00F016D5" w:rsidP="00F016D5">
      <w:pPr>
        <w:rPr>
          <w:rFonts w:asciiTheme="majorHAnsi" w:hAnsiTheme="majorHAnsi"/>
          <w:sz w:val="22"/>
          <w:szCs w:val="22"/>
        </w:rPr>
      </w:pPr>
      <w:r w:rsidRPr="002E7248">
        <w:rPr>
          <w:rFonts w:asciiTheme="majorHAnsi" w:hAnsiTheme="majorHAnsi"/>
          <w:sz w:val="22"/>
          <w:szCs w:val="22"/>
        </w:rPr>
        <w:t>This amicus brief argues that sexual orientation and gender identity should be in</w:t>
      </w:r>
      <w:r>
        <w:rPr>
          <w:rFonts w:asciiTheme="majorHAnsi" w:hAnsiTheme="majorHAnsi"/>
          <w:sz w:val="22"/>
          <w:szCs w:val="22"/>
        </w:rPr>
        <w:t>cl</w:t>
      </w:r>
      <w:r w:rsidRPr="002E7248">
        <w:rPr>
          <w:rFonts w:asciiTheme="majorHAnsi" w:hAnsiTheme="majorHAnsi"/>
          <w:sz w:val="22"/>
          <w:szCs w:val="22"/>
        </w:rPr>
        <w:t>uded in the interpretation of Title VII's wording “because of . . . sex” which has always been understood as barring discrimination based on employers’ expectations about how employees of a particular sex will or should behave due to their sex—that is, discrimination based on sex stereotyping. Amici argues that LGBTQ+ employees and applicants should be protected, even when they fail to conform to the employer's sex stereotypes.  Sex stereotyping has taken many forms, including beliefs on how men and women should speak, dress, act, etc</w:t>
      </w:r>
      <w:r>
        <w:rPr>
          <w:rFonts w:asciiTheme="majorHAnsi" w:hAnsiTheme="majorHAnsi"/>
          <w:sz w:val="22"/>
          <w:szCs w:val="22"/>
        </w:rPr>
        <w:t>.</w:t>
      </w:r>
      <w:r w:rsidRPr="002E7248">
        <w:rPr>
          <w:rFonts w:asciiTheme="majorHAnsi" w:hAnsiTheme="majorHAnsi"/>
          <w:sz w:val="22"/>
          <w:szCs w:val="22"/>
        </w:rPr>
        <w:t>, therefore, their gender identity and sexual orientation should be protected, even if it deviates from the employer's view.</w:t>
      </w:r>
    </w:p>
    <w:p w14:paraId="2C30117D" w14:textId="77777777" w:rsidR="00F016D5" w:rsidRDefault="00F016D5" w:rsidP="00F016D5">
      <w:pPr>
        <w:ind w:left="360"/>
        <w:rPr>
          <w:rFonts w:asciiTheme="majorHAnsi" w:hAnsiTheme="majorHAnsi"/>
          <w:sz w:val="22"/>
          <w:szCs w:val="22"/>
        </w:rPr>
      </w:pPr>
    </w:p>
    <w:p w14:paraId="0312D280" w14:textId="113493C2" w:rsidR="00F016D5" w:rsidRDefault="00F016D5" w:rsidP="00D96F33">
      <w:pPr>
        <w:rPr>
          <w:rFonts w:asciiTheme="majorHAnsi" w:hAnsiTheme="majorHAnsi"/>
          <w:sz w:val="22"/>
          <w:szCs w:val="22"/>
        </w:rPr>
      </w:pPr>
      <w:r>
        <w:rPr>
          <w:rFonts w:asciiTheme="majorHAnsi" w:hAnsiTheme="majorHAnsi"/>
          <w:sz w:val="22"/>
          <w:szCs w:val="22"/>
        </w:rPr>
        <w:t xml:space="preserve">Oral argument occurred on October 8, 2019. </w:t>
      </w:r>
    </w:p>
    <w:p w14:paraId="694E7D77" w14:textId="033021AA" w:rsidR="007A1A19" w:rsidRDefault="007A1A19" w:rsidP="00D96F33">
      <w:pPr>
        <w:rPr>
          <w:rFonts w:asciiTheme="majorHAnsi" w:hAnsiTheme="majorHAnsi"/>
          <w:sz w:val="22"/>
          <w:szCs w:val="22"/>
        </w:rPr>
      </w:pPr>
    </w:p>
    <w:p w14:paraId="6A0521B7" w14:textId="44285501" w:rsidR="00E66109" w:rsidRDefault="00E66109" w:rsidP="00F016D5">
      <w:pPr>
        <w:pStyle w:val="ListParagraph"/>
        <w:numPr>
          <w:ilvl w:val="0"/>
          <w:numId w:val="1"/>
        </w:numPr>
        <w:rPr>
          <w:rFonts w:asciiTheme="majorHAnsi" w:hAnsiTheme="majorHAnsi"/>
          <w:b/>
          <w:sz w:val="22"/>
          <w:szCs w:val="22"/>
        </w:rPr>
      </w:pPr>
      <w:r w:rsidRPr="00E66109">
        <w:rPr>
          <w:rFonts w:asciiTheme="majorHAnsi" w:hAnsiTheme="majorHAnsi"/>
          <w:b/>
          <w:i/>
          <w:sz w:val="22"/>
          <w:szCs w:val="22"/>
          <w:u w:val="single"/>
        </w:rPr>
        <w:t>State of California v. Alex M. Azar II, Essential Access Health, Inc., et al v. Alex M. Azar II</w:t>
      </w:r>
      <w:r>
        <w:rPr>
          <w:rFonts w:asciiTheme="majorHAnsi" w:hAnsiTheme="majorHAnsi"/>
          <w:b/>
          <w:sz w:val="22"/>
          <w:szCs w:val="22"/>
        </w:rPr>
        <w:t xml:space="preserve"> (Ninth Circuit), filed 7/8/2019</w:t>
      </w:r>
    </w:p>
    <w:p w14:paraId="53375E84" w14:textId="6DF18A26" w:rsidR="00301C6E" w:rsidRDefault="00E66109" w:rsidP="00301C6E">
      <w:pPr>
        <w:ind w:left="360"/>
        <w:rPr>
          <w:rFonts w:asciiTheme="majorHAnsi" w:hAnsiTheme="majorHAnsi"/>
          <w:b/>
          <w:sz w:val="22"/>
          <w:szCs w:val="22"/>
        </w:rPr>
      </w:pPr>
      <w:r w:rsidRPr="00E66109">
        <w:rPr>
          <w:rFonts w:asciiTheme="majorHAnsi" w:hAnsiTheme="majorHAnsi"/>
          <w:b/>
          <w:i/>
          <w:sz w:val="22"/>
          <w:szCs w:val="22"/>
        </w:rPr>
        <w:t>Reproductive Rights</w:t>
      </w:r>
      <w:r>
        <w:rPr>
          <w:rFonts w:asciiTheme="majorHAnsi" w:hAnsiTheme="majorHAnsi"/>
          <w:b/>
          <w:sz w:val="22"/>
          <w:szCs w:val="22"/>
        </w:rPr>
        <w:br/>
        <w:t xml:space="preserve">Author: </w:t>
      </w:r>
      <w:r w:rsidR="005134AB">
        <w:rPr>
          <w:rFonts w:asciiTheme="majorHAnsi" w:hAnsiTheme="majorHAnsi"/>
          <w:b/>
          <w:sz w:val="22"/>
          <w:szCs w:val="22"/>
        </w:rPr>
        <w:t>California Women’s Law Center</w:t>
      </w:r>
    </w:p>
    <w:p w14:paraId="292BED01" w14:textId="77777777" w:rsidR="00301C6E" w:rsidRDefault="00301C6E" w:rsidP="00301C6E">
      <w:pPr>
        <w:rPr>
          <w:rFonts w:asciiTheme="majorHAnsi" w:hAnsiTheme="majorHAnsi"/>
          <w:b/>
          <w:sz w:val="22"/>
          <w:szCs w:val="22"/>
        </w:rPr>
      </w:pPr>
    </w:p>
    <w:p w14:paraId="56F6508D" w14:textId="13BD3BD2" w:rsidR="00E66109" w:rsidRDefault="00E66109" w:rsidP="00301C6E">
      <w:pPr>
        <w:rPr>
          <w:rFonts w:asciiTheme="majorHAnsi" w:hAnsiTheme="majorHAnsi"/>
          <w:sz w:val="22"/>
          <w:szCs w:val="22"/>
        </w:rPr>
      </w:pPr>
      <w:r w:rsidRPr="00E66109">
        <w:rPr>
          <w:rFonts w:asciiTheme="majorHAnsi" w:hAnsiTheme="majorHAnsi"/>
          <w:sz w:val="22"/>
          <w:szCs w:val="22"/>
        </w:rPr>
        <w:t xml:space="preserve">This amicus brief analyzes the consequences of the Final rule recently announced by the Department of Health and Human Services on Title X-funded health centers. HHS aims to do away with nondirective pregnancy counseling and </w:t>
      </w:r>
      <w:r>
        <w:rPr>
          <w:rFonts w:asciiTheme="majorHAnsi" w:hAnsiTheme="majorHAnsi"/>
          <w:sz w:val="22"/>
          <w:szCs w:val="22"/>
        </w:rPr>
        <w:t>ref</w:t>
      </w:r>
      <w:r w:rsidRPr="00E66109">
        <w:rPr>
          <w:rFonts w:asciiTheme="majorHAnsi" w:hAnsiTheme="majorHAnsi"/>
          <w:sz w:val="22"/>
          <w:szCs w:val="22"/>
        </w:rPr>
        <w:t>e</w:t>
      </w:r>
      <w:r>
        <w:rPr>
          <w:rFonts w:asciiTheme="majorHAnsi" w:hAnsiTheme="majorHAnsi"/>
          <w:sz w:val="22"/>
          <w:szCs w:val="22"/>
        </w:rPr>
        <w:t>r</w:t>
      </w:r>
      <w:r w:rsidRPr="00E66109">
        <w:rPr>
          <w:rFonts w:asciiTheme="majorHAnsi" w:hAnsiTheme="majorHAnsi"/>
          <w:sz w:val="22"/>
          <w:szCs w:val="22"/>
        </w:rPr>
        <w:t>rals, stating eliminating this requirement might increase the number of Title X applicants, expand the network of providers in rural areas, and improve quality of care. There is, however, no evidence to support these claims. The amici argue that the reality of these changes will have detrimental effects on access to reproductive care, particularly in rural areas. With the Final Rule, Title X clinics will have to choose between providing comprehensive reproductive health care and receiving critical Title X funds.  Because of this decision, the likely result is decreased access to high-quality family planning and reproductive health care, which in rural areas will be even more significant of a loss.</w:t>
      </w:r>
    </w:p>
    <w:p w14:paraId="5DACA6E7" w14:textId="438BCDED" w:rsidR="00301C6E" w:rsidRDefault="00301C6E" w:rsidP="00301C6E">
      <w:pPr>
        <w:rPr>
          <w:rFonts w:asciiTheme="majorHAnsi" w:hAnsiTheme="majorHAnsi"/>
          <w:sz w:val="22"/>
          <w:szCs w:val="22"/>
        </w:rPr>
      </w:pPr>
    </w:p>
    <w:p w14:paraId="6567C70D" w14:textId="6D23EE6E" w:rsidR="00301C6E" w:rsidRPr="00301C6E" w:rsidRDefault="00301C6E" w:rsidP="00301C6E">
      <w:pPr>
        <w:rPr>
          <w:rFonts w:asciiTheme="majorHAnsi" w:hAnsiTheme="majorHAnsi"/>
          <w:b/>
          <w:sz w:val="22"/>
          <w:szCs w:val="22"/>
        </w:rPr>
      </w:pPr>
      <w:r>
        <w:rPr>
          <w:rFonts w:asciiTheme="majorHAnsi" w:hAnsiTheme="majorHAnsi"/>
          <w:sz w:val="22"/>
          <w:szCs w:val="22"/>
        </w:rPr>
        <w:t xml:space="preserve">Oral argument occurred before an </w:t>
      </w:r>
      <w:proofErr w:type="spellStart"/>
      <w:r>
        <w:rPr>
          <w:rFonts w:asciiTheme="majorHAnsi" w:hAnsiTheme="majorHAnsi"/>
          <w:sz w:val="22"/>
          <w:szCs w:val="22"/>
        </w:rPr>
        <w:t>en</w:t>
      </w:r>
      <w:proofErr w:type="spellEnd"/>
      <w:r>
        <w:rPr>
          <w:rFonts w:asciiTheme="majorHAnsi" w:hAnsiTheme="majorHAnsi"/>
          <w:sz w:val="22"/>
          <w:szCs w:val="22"/>
        </w:rPr>
        <w:t xml:space="preserve"> banc panel on September 23, 2019. </w:t>
      </w:r>
    </w:p>
    <w:p w14:paraId="53B943FD" w14:textId="057232CE" w:rsidR="00E66109" w:rsidRDefault="00E66109" w:rsidP="00E66109">
      <w:pPr>
        <w:ind w:left="360"/>
        <w:rPr>
          <w:rFonts w:asciiTheme="majorHAnsi" w:hAnsiTheme="majorHAnsi"/>
          <w:b/>
          <w:sz w:val="22"/>
          <w:szCs w:val="22"/>
        </w:rPr>
      </w:pPr>
    </w:p>
    <w:p w14:paraId="5C3960DA" w14:textId="77777777" w:rsidR="002E7248" w:rsidRDefault="002E7248" w:rsidP="00F016D5">
      <w:pPr>
        <w:pStyle w:val="ListParagraph"/>
        <w:numPr>
          <w:ilvl w:val="0"/>
          <w:numId w:val="1"/>
        </w:numPr>
        <w:rPr>
          <w:rFonts w:asciiTheme="majorHAnsi" w:hAnsiTheme="majorHAnsi"/>
          <w:b/>
          <w:sz w:val="22"/>
          <w:szCs w:val="22"/>
        </w:rPr>
      </w:pPr>
      <w:r w:rsidRPr="002E7248">
        <w:rPr>
          <w:rFonts w:asciiTheme="majorHAnsi" w:hAnsiTheme="majorHAnsi"/>
          <w:b/>
          <w:i/>
          <w:sz w:val="22"/>
          <w:szCs w:val="22"/>
          <w:u w:val="single"/>
        </w:rPr>
        <w:t>John Doe v. Occidental College</w:t>
      </w:r>
      <w:r>
        <w:rPr>
          <w:rFonts w:asciiTheme="majorHAnsi" w:hAnsiTheme="majorHAnsi"/>
          <w:b/>
          <w:sz w:val="22"/>
          <w:szCs w:val="22"/>
        </w:rPr>
        <w:t>, (CA Court of Appeal, Second Appellate District), filed 7/22/19</w:t>
      </w:r>
    </w:p>
    <w:p w14:paraId="5064AA6E" w14:textId="77777777" w:rsidR="002E7248" w:rsidRDefault="002E7248" w:rsidP="002E7248">
      <w:pPr>
        <w:ind w:left="360"/>
        <w:rPr>
          <w:rFonts w:asciiTheme="majorHAnsi" w:hAnsiTheme="majorHAnsi"/>
          <w:b/>
          <w:i/>
          <w:sz w:val="22"/>
          <w:szCs w:val="22"/>
        </w:rPr>
      </w:pPr>
      <w:r>
        <w:rPr>
          <w:rFonts w:asciiTheme="majorHAnsi" w:hAnsiTheme="majorHAnsi"/>
          <w:b/>
          <w:i/>
          <w:sz w:val="22"/>
          <w:szCs w:val="22"/>
        </w:rPr>
        <w:t>On Campus Sexual Assault</w:t>
      </w:r>
    </w:p>
    <w:p w14:paraId="0913BFE9" w14:textId="3FDF6C37" w:rsidR="00E66109" w:rsidRPr="002E7248" w:rsidRDefault="002E7248" w:rsidP="002E7248">
      <w:pPr>
        <w:ind w:left="360"/>
        <w:rPr>
          <w:rFonts w:asciiTheme="majorHAnsi" w:hAnsiTheme="majorHAnsi"/>
          <w:b/>
          <w:sz w:val="22"/>
          <w:szCs w:val="22"/>
        </w:rPr>
      </w:pPr>
      <w:r>
        <w:rPr>
          <w:rFonts w:asciiTheme="majorHAnsi" w:hAnsiTheme="majorHAnsi"/>
          <w:b/>
          <w:sz w:val="22"/>
          <w:szCs w:val="22"/>
        </w:rPr>
        <w:lastRenderedPageBreak/>
        <w:t xml:space="preserve">Author: </w:t>
      </w:r>
      <w:r w:rsidR="00301C6E">
        <w:rPr>
          <w:rFonts w:asciiTheme="majorHAnsi" w:hAnsiTheme="majorHAnsi"/>
          <w:b/>
          <w:sz w:val="22"/>
          <w:szCs w:val="22"/>
        </w:rPr>
        <w:t>Equal Rights Advocates</w:t>
      </w:r>
      <w:r w:rsidRPr="002E7248">
        <w:rPr>
          <w:rFonts w:asciiTheme="majorHAnsi" w:hAnsiTheme="majorHAnsi"/>
          <w:b/>
          <w:sz w:val="22"/>
          <w:szCs w:val="22"/>
        </w:rPr>
        <w:t xml:space="preserve">  </w:t>
      </w:r>
    </w:p>
    <w:p w14:paraId="226D72A8" w14:textId="77777777" w:rsidR="00301C6E" w:rsidRDefault="00301C6E" w:rsidP="00301C6E">
      <w:pPr>
        <w:rPr>
          <w:rFonts w:asciiTheme="majorHAnsi" w:hAnsiTheme="majorHAnsi"/>
          <w:sz w:val="22"/>
          <w:szCs w:val="22"/>
        </w:rPr>
      </w:pPr>
    </w:p>
    <w:p w14:paraId="453E5270" w14:textId="167ED492" w:rsidR="00E66109" w:rsidRDefault="002E7248" w:rsidP="00301C6E">
      <w:pPr>
        <w:rPr>
          <w:rFonts w:asciiTheme="majorHAnsi" w:hAnsiTheme="majorHAnsi"/>
          <w:sz w:val="22"/>
          <w:szCs w:val="22"/>
        </w:rPr>
      </w:pPr>
      <w:r w:rsidRPr="002E7248">
        <w:rPr>
          <w:rFonts w:asciiTheme="majorHAnsi" w:hAnsiTheme="majorHAnsi"/>
          <w:sz w:val="22"/>
          <w:szCs w:val="22"/>
        </w:rPr>
        <w:t>This amicus brief requests that the Court certify the Occidental case for publication as it meets the standards for certification under Rule 8.1105(c). The case provides useful guidance on how credibility assessments made at hearings should be reviewed. It also provided clarity on the reasons for the applicability of the abuse of discretion standard and explicitly asserts that credibility findings should not be disturbed unless no reasonable person could reach the conclusion reached by the university.</w:t>
      </w:r>
    </w:p>
    <w:p w14:paraId="1AAD9A04" w14:textId="10FA4F0B" w:rsidR="00301C6E" w:rsidRDefault="00301C6E" w:rsidP="00301C6E">
      <w:pPr>
        <w:rPr>
          <w:rFonts w:asciiTheme="majorHAnsi" w:hAnsiTheme="majorHAnsi"/>
          <w:sz w:val="22"/>
          <w:szCs w:val="22"/>
        </w:rPr>
      </w:pPr>
    </w:p>
    <w:p w14:paraId="6A5D9DB8" w14:textId="737EBE2B" w:rsidR="00E66109" w:rsidRPr="00301C6E" w:rsidRDefault="00301C6E" w:rsidP="00301C6E">
      <w:pPr>
        <w:rPr>
          <w:rFonts w:asciiTheme="majorHAnsi" w:hAnsiTheme="majorHAnsi"/>
          <w:sz w:val="22"/>
          <w:szCs w:val="22"/>
        </w:rPr>
      </w:pPr>
      <w:r>
        <w:rPr>
          <w:rFonts w:asciiTheme="majorHAnsi" w:hAnsiTheme="majorHAnsi"/>
          <w:sz w:val="22"/>
          <w:szCs w:val="22"/>
        </w:rPr>
        <w:t xml:space="preserve">The Court of Appeal granted the request to publish on July 24, 2019. </w:t>
      </w:r>
    </w:p>
    <w:p w14:paraId="41358A7A" w14:textId="77777777" w:rsidR="00E66109" w:rsidRPr="00E66109" w:rsidRDefault="00E66109" w:rsidP="00E66109">
      <w:pPr>
        <w:ind w:left="360"/>
        <w:rPr>
          <w:rFonts w:asciiTheme="majorHAnsi" w:hAnsiTheme="majorHAnsi"/>
          <w:b/>
          <w:sz w:val="22"/>
          <w:szCs w:val="22"/>
        </w:rPr>
      </w:pPr>
    </w:p>
    <w:p w14:paraId="504E6904" w14:textId="65CBDC4C" w:rsidR="002E7248" w:rsidRDefault="002E7248" w:rsidP="00F016D5">
      <w:pPr>
        <w:pStyle w:val="ListParagraph"/>
        <w:numPr>
          <w:ilvl w:val="0"/>
          <w:numId w:val="1"/>
        </w:numPr>
        <w:rPr>
          <w:rFonts w:asciiTheme="majorHAnsi" w:hAnsiTheme="majorHAnsi"/>
          <w:b/>
          <w:sz w:val="22"/>
          <w:szCs w:val="22"/>
        </w:rPr>
      </w:pPr>
      <w:r>
        <w:rPr>
          <w:rFonts w:asciiTheme="majorHAnsi" w:hAnsiTheme="majorHAnsi"/>
          <w:b/>
          <w:i/>
          <w:sz w:val="22"/>
          <w:szCs w:val="22"/>
          <w:u w:val="single"/>
        </w:rPr>
        <w:t>Steven E. Jensen v. Kristen Kerr</w:t>
      </w:r>
      <w:r w:rsidRPr="00301C6E">
        <w:rPr>
          <w:rFonts w:asciiTheme="majorHAnsi" w:hAnsiTheme="majorHAnsi"/>
          <w:b/>
          <w:iCs/>
          <w:sz w:val="22"/>
          <w:szCs w:val="22"/>
        </w:rPr>
        <w:t>,</w:t>
      </w:r>
      <w:r w:rsidRPr="00301C6E">
        <w:rPr>
          <w:rFonts w:asciiTheme="majorHAnsi" w:hAnsiTheme="majorHAnsi"/>
          <w:b/>
          <w:i/>
          <w:sz w:val="22"/>
          <w:szCs w:val="22"/>
        </w:rPr>
        <w:t xml:space="preserve"> </w:t>
      </w:r>
      <w:r>
        <w:rPr>
          <w:rFonts w:asciiTheme="majorHAnsi" w:hAnsiTheme="majorHAnsi"/>
          <w:b/>
          <w:sz w:val="22"/>
          <w:szCs w:val="22"/>
        </w:rPr>
        <w:t>(CA Second Appellate District</w:t>
      </w:r>
      <w:r w:rsidR="00301C6E">
        <w:rPr>
          <w:rFonts w:asciiTheme="majorHAnsi" w:hAnsiTheme="majorHAnsi"/>
          <w:b/>
          <w:sz w:val="22"/>
          <w:szCs w:val="22"/>
        </w:rPr>
        <w:t>),</w:t>
      </w:r>
      <w:r>
        <w:rPr>
          <w:rFonts w:asciiTheme="majorHAnsi" w:hAnsiTheme="majorHAnsi"/>
          <w:b/>
          <w:sz w:val="22"/>
          <w:szCs w:val="22"/>
        </w:rPr>
        <w:t xml:space="preserve"> filed 8/13/19.</w:t>
      </w:r>
    </w:p>
    <w:p w14:paraId="4EF0E855" w14:textId="26F2087F" w:rsidR="002E7248" w:rsidRDefault="002E7248" w:rsidP="002E7248">
      <w:pPr>
        <w:ind w:left="360"/>
        <w:rPr>
          <w:rFonts w:asciiTheme="majorHAnsi" w:hAnsiTheme="majorHAnsi"/>
          <w:b/>
          <w:i/>
          <w:sz w:val="22"/>
          <w:szCs w:val="22"/>
        </w:rPr>
      </w:pPr>
      <w:r>
        <w:rPr>
          <w:rFonts w:asciiTheme="majorHAnsi" w:hAnsiTheme="majorHAnsi"/>
          <w:b/>
          <w:i/>
          <w:sz w:val="22"/>
          <w:szCs w:val="22"/>
        </w:rPr>
        <w:t>Domestic Violence</w:t>
      </w:r>
    </w:p>
    <w:p w14:paraId="2E3CA7E3" w14:textId="04AF76D4" w:rsidR="002E7248" w:rsidRDefault="002E7248" w:rsidP="002E7248">
      <w:pPr>
        <w:ind w:left="360"/>
        <w:rPr>
          <w:rFonts w:asciiTheme="majorHAnsi" w:hAnsiTheme="majorHAnsi"/>
          <w:b/>
          <w:sz w:val="22"/>
          <w:szCs w:val="22"/>
        </w:rPr>
      </w:pPr>
      <w:r>
        <w:rPr>
          <w:rFonts w:asciiTheme="majorHAnsi" w:hAnsiTheme="majorHAnsi"/>
          <w:b/>
          <w:sz w:val="22"/>
          <w:szCs w:val="22"/>
        </w:rPr>
        <w:t>Author: Family Violence Appellate Project</w:t>
      </w:r>
    </w:p>
    <w:p w14:paraId="7EAD7BAF" w14:textId="77777777" w:rsidR="00301C6E" w:rsidRDefault="00301C6E" w:rsidP="00301C6E">
      <w:pPr>
        <w:rPr>
          <w:rFonts w:asciiTheme="majorHAnsi" w:hAnsiTheme="majorHAnsi"/>
          <w:sz w:val="22"/>
          <w:szCs w:val="22"/>
        </w:rPr>
      </w:pPr>
    </w:p>
    <w:p w14:paraId="4456A2B2" w14:textId="7947510B" w:rsidR="002E7248" w:rsidRDefault="002E7248" w:rsidP="00301C6E">
      <w:pPr>
        <w:rPr>
          <w:rFonts w:asciiTheme="majorHAnsi" w:hAnsiTheme="majorHAnsi"/>
          <w:sz w:val="22"/>
          <w:szCs w:val="22"/>
        </w:rPr>
      </w:pPr>
      <w:r w:rsidRPr="002E7248">
        <w:rPr>
          <w:rFonts w:asciiTheme="majorHAnsi" w:hAnsiTheme="majorHAnsi"/>
          <w:sz w:val="22"/>
          <w:szCs w:val="22"/>
        </w:rPr>
        <w:t>This amicus brief provides the Court with a summary of the extensive social science research findings on litigation abuse and the potential for this type of abuse in the civil discovery proces</w:t>
      </w:r>
      <w:r>
        <w:rPr>
          <w:rFonts w:asciiTheme="majorHAnsi" w:hAnsiTheme="majorHAnsi"/>
          <w:sz w:val="22"/>
          <w:szCs w:val="22"/>
        </w:rPr>
        <w:t>s</w:t>
      </w:r>
      <w:r w:rsidRPr="002E7248">
        <w:rPr>
          <w:rFonts w:asciiTheme="majorHAnsi" w:hAnsiTheme="majorHAnsi"/>
          <w:sz w:val="22"/>
          <w:szCs w:val="22"/>
        </w:rPr>
        <w:t>, particularly in the context of depositions. In this case, Kerr was subjected to ongoing abuse by Jensen, which continued with abusive litigation conduct where Jensen filed a civil suit and multiple criminal complaints against Kerr as well as multiple to complaints to CPS a</w:t>
      </w:r>
      <w:r>
        <w:rPr>
          <w:rFonts w:asciiTheme="majorHAnsi" w:hAnsiTheme="majorHAnsi"/>
          <w:sz w:val="22"/>
          <w:szCs w:val="22"/>
        </w:rPr>
        <w:t>nd</w:t>
      </w:r>
      <w:r w:rsidRPr="002E7248">
        <w:rPr>
          <w:rFonts w:asciiTheme="majorHAnsi" w:hAnsiTheme="majorHAnsi"/>
          <w:sz w:val="22"/>
          <w:szCs w:val="22"/>
        </w:rPr>
        <w:t xml:space="preserve"> different service agencies. Amici requests that this Court issue a decision (1)</w:t>
      </w:r>
      <w:r>
        <w:rPr>
          <w:rFonts w:asciiTheme="majorHAnsi" w:hAnsiTheme="majorHAnsi"/>
          <w:sz w:val="22"/>
          <w:szCs w:val="22"/>
        </w:rPr>
        <w:t xml:space="preserve"> </w:t>
      </w:r>
      <w:r w:rsidRPr="002E7248">
        <w:rPr>
          <w:rFonts w:asciiTheme="majorHAnsi" w:hAnsiTheme="majorHAnsi"/>
          <w:sz w:val="22"/>
          <w:szCs w:val="22"/>
        </w:rPr>
        <w:t>affirming that the party seeking any modification of a Domestic</w:t>
      </w:r>
      <w:r w:rsidR="00301C6E">
        <w:rPr>
          <w:rFonts w:asciiTheme="majorHAnsi" w:hAnsiTheme="majorHAnsi"/>
          <w:sz w:val="22"/>
          <w:szCs w:val="22"/>
        </w:rPr>
        <w:t xml:space="preserve"> </w:t>
      </w:r>
      <w:r w:rsidRPr="002E7248">
        <w:rPr>
          <w:rFonts w:asciiTheme="majorHAnsi" w:hAnsiTheme="majorHAnsi"/>
          <w:sz w:val="22"/>
          <w:szCs w:val="22"/>
        </w:rPr>
        <w:t>Violence Restraining Order bears the burden of proof that the requested modification is required under the facts and in the</w:t>
      </w:r>
      <w:r>
        <w:rPr>
          <w:rFonts w:asciiTheme="majorHAnsi" w:hAnsiTheme="majorHAnsi"/>
          <w:sz w:val="22"/>
          <w:szCs w:val="22"/>
        </w:rPr>
        <w:t xml:space="preserve"> </w:t>
      </w:r>
      <w:r w:rsidRPr="002E7248">
        <w:rPr>
          <w:rFonts w:asciiTheme="majorHAnsi" w:hAnsiTheme="majorHAnsi"/>
          <w:sz w:val="22"/>
          <w:szCs w:val="22"/>
        </w:rPr>
        <w:t>interest of justice, and (2) confirming that the standard for such a</w:t>
      </w:r>
      <w:r>
        <w:rPr>
          <w:rFonts w:asciiTheme="majorHAnsi" w:hAnsiTheme="majorHAnsi"/>
          <w:sz w:val="22"/>
          <w:szCs w:val="22"/>
        </w:rPr>
        <w:t xml:space="preserve"> </w:t>
      </w:r>
      <w:r w:rsidRPr="002E7248">
        <w:rPr>
          <w:rFonts w:asciiTheme="majorHAnsi" w:hAnsiTheme="majorHAnsi"/>
          <w:sz w:val="22"/>
          <w:szCs w:val="22"/>
        </w:rPr>
        <w:t>modification is no lower just because attendance at the abuse</w:t>
      </w:r>
      <w:r>
        <w:rPr>
          <w:rFonts w:asciiTheme="majorHAnsi" w:hAnsiTheme="majorHAnsi"/>
          <w:sz w:val="22"/>
          <w:szCs w:val="22"/>
        </w:rPr>
        <w:t xml:space="preserve"> </w:t>
      </w:r>
      <w:r w:rsidRPr="002E7248">
        <w:rPr>
          <w:rFonts w:asciiTheme="majorHAnsi" w:hAnsiTheme="majorHAnsi"/>
          <w:sz w:val="22"/>
          <w:szCs w:val="22"/>
        </w:rPr>
        <w:t>survivor’s depositions is requested.</w:t>
      </w:r>
    </w:p>
    <w:p w14:paraId="3FFD15BF" w14:textId="6B3818E0" w:rsidR="00301C6E" w:rsidRDefault="00301C6E" w:rsidP="00301C6E">
      <w:pPr>
        <w:rPr>
          <w:rFonts w:asciiTheme="majorHAnsi" w:hAnsiTheme="majorHAnsi"/>
          <w:sz w:val="22"/>
          <w:szCs w:val="22"/>
        </w:rPr>
      </w:pPr>
    </w:p>
    <w:p w14:paraId="621F3711" w14:textId="0181CE6C" w:rsidR="00301C6E" w:rsidRPr="002E7248" w:rsidRDefault="00301C6E" w:rsidP="00301C6E">
      <w:pPr>
        <w:rPr>
          <w:rFonts w:asciiTheme="majorHAnsi" w:hAnsiTheme="majorHAnsi"/>
          <w:sz w:val="22"/>
          <w:szCs w:val="22"/>
        </w:rPr>
      </w:pPr>
      <w:r>
        <w:rPr>
          <w:rFonts w:asciiTheme="majorHAnsi" w:hAnsiTheme="majorHAnsi"/>
          <w:sz w:val="22"/>
          <w:szCs w:val="22"/>
        </w:rPr>
        <w:t>The Court of Appeal granted the petition on October 2, 2019 and remanded to the superior court with instructions to modify the DVRO. The court</w:t>
      </w:r>
      <w:r w:rsidRPr="00301C6E">
        <w:rPr>
          <w:rFonts w:asciiTheme="majorHAnsi" w:hAnsiTheme="majorHAnsi"/>
          <w:sz w:val="22"/>
          <w:szCs w:val="22"/>
        </w:rPr>
        <w:t xml:space="preserve"> did not address the issue of litigation abuse, or the issue of which party bears the burden of seeking a modification of a domestic violence restraining order for purposes of attending a civil deposition in-person, </w:t>
      </w:r>
      <w:r>
        <w:rPr>
          <w:rFonts w:asciiTheme="majorHAnsi" w:hAnsiTheme="majorHAnsi"/>
          <w:sz w:val="22"/>
          <w:szCs w:val="22"/>
        </w:rPr>
        <w:t>but it</w:t>
      </w:r>
      <w:r w:rsidRPr="00301C6E">
        <w:rPr>
          <w:rFonts w:asciiTheme="majorHAnsi" w:hAnsiTheme="majorHAnsi"/>
          <w:sz w:val="22"/>
          <w:szCs w:val="22"/>
        </w:rPr>
        <w:t xml:space="preserve"> did adopt a legal standard for modification which holds the purposes of the Domestic Violence Prevention Act as co-equal to the attendance at depositions provisions in the California Civil Discovery Act.</w:t>
      </w:r>
    </w:p>
    <w:p w14:paraId="2336B368" w14:textId="77777777" w:rsidR="002E7248" w:rsidRPr="002E7248" w:rsidRDefault="002E7248" w:rsidP="002E7248">
      <w:pPr>
        <w:ind w:left="360"/>
        <w:rPr>
          <w:rFonts w:asciiTheme="majorHAnsi" w:hAnsiTheme="majorHAnsi"/>
          <w:b/>
          <w:sz w:val="22"/>
          <w:szCs w:val="22"/>
        </w:rPr>
      </w:pPr>
    </w:p>
    <w:p w14:paraId="6DB2C821" w14:textId="740A7599" w:rsidR="002E7248" w:rsidRDefault="002E7248" w:rsidP="00F016D5">
      <w:pPr>
        <w:pStyle w:val="ListParagraph"/>
        <w:numPr>
          <w:ilvl w:val="0"/>
          <w:numId w:val="1"/>
        </w:numPr>
        <w:rPr>
          <w:rFonts w:asciiTheme="majorHAnsi" w:hAnsiTheme="majorHAnsi"/>
          <w:b/>
          <w:sz w:val="22"/>
          <w:szCs w:val="22"/>
        </w:rPr>
      </w:pPr>
      <w:r w:rsidRPr="002E7248">
        <w:rPr>
          <w:rFonts w:asciiTheme="majorHAnsi" w:hAnsiTheme="majorHAnsi"/>
          <w:b/>
          <w:i/>
          <w:sz w:val="22"/>
          <w:szCs w:val="22"/>
          <w:u w:val="single"/>
        </w:rPr>
        <w:t>Lizbeth Mendez v. Jesus Gabriel Salcido</w:t>
      </w:r>
      <w:r>
        <w:rPr>
          <w:rFonts w:asciiTheme="majorHAnsi" w:hAnsiTheme="majorHAnsi"/>
          <w:b/>
          <w:i/>
          <w:sz w:val="22"/>
          <w:szCs w:val="22"/>
        </w:rPr>
        <w:t xml:space="preserve">. </w:t>
      </w:r>
      <w:r>
        <w:rPr>
          <w:rFonts w:asciiTheme="majorHAnsi" w:hAnsiTheme="majorHAnsi"/>
          <w:b/>
          <w:sz w:val="22"/>
          <w:szCs w:val="22"/>
        </w:rPr>
        <w:t>(CA Second Appellate District, Division Two). Filed 8/19/2019</w:t>
      </w:r>
    </w:p>
    <w:p w14:paraId="7AAE3721" w14:textId="4C2891F5" w:rsidR="002E7248" w:rsidRDefault="002E7248" w:rsidP="002E7248">
      <w:pPr>
        <w:ind w:left="360"/>
        <w:rPr>
          <w:rFonts w:asciiTheme="majorHAnsi" w:hAnsiTheme="majorHAnsi"/>
          <w:b/>
          <w:i/>
          <w:sz w:val="22"/>
          <w:szCs w:val="22"/>
        </w:rPr>
      </w:pPr>
      <w:r>
        <w:rPr>
          <w:rFonts w:asciiTheme="majorHAnsi" w:hAnsiTheme="majorHAnsi"/>
          <w:b/>
          <w:i/>
          <w:sz w:val="22"/>
          <w:szCs w:val="22"/>
        </w:rPr>
        <w:t>Domestic Violence</w:t>
      </w:r>
    </w:p>
    <w:p w14:paraId="44DBF6F2" w14:textId="77777777" w:rsidR="00301C6E" w:rsidRDefault="002E7248" w:rsidP="00301C6E">
      <w:pPr>
        <w:ind w:left="360"/>
        <w:rPr>
          <w:rFonts w:asciiTheme="majorHAnsi" w:hAnsiTheme="majorHAnsi"/>
          <w:b/>
          <w:sz w:val="22"/>
          <w:szCs w:val="22"/>
        </w:rPr>
      </w:pPr>
      <w:r>
        <w:rPr>
          <w:rFonts w:asciiTheme="majorHAnsi" w:hAnsiTheme="majorHAnsi"/>
          <w:b/>
          <w:sz w:val="22"/>
          <w:szCs w:val="22"/>
        </w:rPr>
        <w:t xml:space="preserve">Author: </w:t>
      </w:r>
      <w:r w:rsidR="002B3367">
        <w:rPr>
          <w:rFonts w:asciiTheme="majorHAnsi" w:hAnsiTheme="majorHAnsi"/>
          <w:b/>
          <w:sz w:val="22"/>
          <w:szCs w:val="22"/>
        </w:rPr>
        <w:t>California Women’s Law Center</w:t>
      </w:r>
    </w:p>
    <w:p w14:paraId="435FBDC8" w14:textId="77777777" w:rsidR="00301C6E" w:rsidRDefault="00301C6E" w:rsidP="00301C6E">
      <w:pPr>
        <w:rPr>
          <w:rFonts w:asciiTheme="majorHAnsi" w:hAnsiTheme="majorHAnsi"/>
          <w:b/>
          <w:sz w:val="22"/>
          <w:szCs w:val="22"/>
        </w:rPr>
      </w:pPr>
    </w:p>
    <w:p w14:paraId="7F10D8CA" w14:textId="4B0088AF" w:rsidR="002E7248" w:rsidRDefault="002E7248" w:rsidP="00301C6E">
      <w:pPr>
        <w:rPr>
          <w:rFonts w:asciiTheme="majorHAnsi" w:hAnsiTheme="majorHAnsi"/>
          <w:sz w:val="22"/>
          <w:szCs w:val="22"/>
        </w:rPr>
      </w:pPr>
      <w:r w:rsidRPr="002E7248">
        <w:rPr>
          <w:rFonts w:asciiTheme="majorHAnsi" w:hAnsiTheme="majorHAnsi"/>
          <w:sz w:val="22"/>
          <w:szCs w:val="22"/>
        </w:rPr>
        <w:t>This amicus brief requests that the Court reverse the trial court's decision to deny Plaintiff's domestic violence restraining order. By denying restraining orders to victims of domestic violence, survivors are disproportionately and unfairly harmed. This often happens because litigants are not given the full opportunity to present their case before the trial court. This issue is exacerbated when victims are unrepresented and have limited English proficiency. Given the proven correlation between restraining orders and the safety of domestic violence survivors, it is of the utmost importance that courts effectively issue DVROs, including considering all relevant evidence in a full and fair hearing.</w:t>
      </w:r>
    </w:p>
    <w:p w14:paraId="6E88720B" w14:textId="038C1359" w:rsidR="00301C6E" w:rsidRDefault="00301C6E" w:rsidP="00301C6E">
      <w:pPr>
        <w:rPr>
          <w:rFonts w:asciiTheme="majorHAnsi" w:hAnsiTheme="majorHAnsi"/>
          <w:sz w:val="22"/>
          <w:szCs w:val="22"/>
        </w:rPr>
      </w:pPr>
    </w:p>
    <w:p w14:paraId="2FCF00D8" w14:textId="1A302081" w:rsidR="00301C6E" w:rsidRPr="00301C6E" w:rsidRDefault="00301C6E" w:rsidP="00301C6E">
      <w:pPr>
        <w:rPr>
          <w:rFonts w:asciiTheme="majorHAnsi" w:hAnsiTheme="majorHAnsi"/>
          <w:b/>
          <w:sz w:val="22"/>
          <w:szCs w:val="22"/>
        </w:rPr>
      </w:pPr>
      <w:r>
        <w:rPr>
          <w:rFonts w:asciiTheme="majorHAnsi" w:hAnsiTheme="majorHAnsi"/>
          <w:sz w:val="22"/>
          <w:szCs w:val="22"/>
        </w:rPr>
        <w:lastRenderedPageBreak/>
        <w:t xml:space="preserve">The Court of Appeal issued its opinion on October 10, 2019, affirming the trial court’s order. A Petition for Review was filed with the California Supreme Court on November 19, 2019. CWLC submitted an amicus letter in support of the Petition on December 9, 2019, along with Family Violence Appellate Project and several other co-signers. </w:t>
      </w:r>
    </w:p>
    <w:p w14:paraId="40AE61F8" w14:textId="77777777" w:rsidR="002E7248" w:rsidRPr="002E7248" w:rsidRDefault="002E7248" w:rsidP="002E7248">
      <w:pPr>
        <w:ind w:left="360"/>
        <w:rPr>
          <w:rFonts w:asciiTheme="majorHAnsi" w:hAnsiTheme="majorHAnsi"/>
          <w:b/>
          <w:sz w:val="22"/>
          <w:szCs w:val="22"/>
        </w:rPr>
      </w:pPr>
    </w:p>
    <w:p w14:paraId="2C6F61CB" w14:textId="2671901F" w:rsidR="007A1A19" w:rsidRPr="007A1A19" w:rsidRDefault="007A1A19" w:rsidP="00F016D5">
      <w:pPr>
        <w:pStyle w:val="ListParagraph"/>
        <w:numPr>
          <w:ilvl w:val="0"/>
          <w:numId w:val="1"/>
        </w:numPr>
        <w:rPr>
          <w:rFonts w:asciiTheme="majorHAnsi" w:hAnsiTheme="majorHAnsi"/>
          <w:b/>
          <w:sz w:val="22"/>
          <w:szCs w:val="22"/>
        </w:rPr>
      </w:pPr>
      <w:r w:rsidRPr="007A1A19">
        <w:rPr>
          <w:rFonts w:asciiTheme="majorHAnsi" w:hAnsiTheme="majorHAnsi"/>
          <w:b/>
          <w:i/>
          <w:sz w:val="22"/>
          <w:szCs w:val="22"/>
          <w:u w:val="single"/>
        </w:rPr>
        <w:t>Theresa Victory, et al. v. County of Berks, et al.</w:t>
      </w:r>
      <w:r w:rsidRPr="007A1A19">
        <w:rPr>
          <w:rFonts w:asciiTheme="majorHAnsi" w:hAnsiTheme="majorHAnsi"/>
          <w:b/>
          <w:sz w:val="22"/>
          <w:szCs w:val="22"/>
        </w:rPr>
        <w:t xml:space="preserve"> (Third Circuit), filed 8/19/2019</w:t>
      </w:r>
    </w:p>
    <w:p w14:paraId="1662E1EA" w14:textId="77777777" w:rsidR="007A1A19" w:rsidRPr="007A1A19" w:rsidRDefault="007A1A19" w:rsidP="007A1A19">
      <w:pPr>
        <w:ind w:left="360"/>
        <w:rPr>
          <w:rFonts w:asciiTheme="majorHAnsi" w:hAnsiTheme="majorHAnsi"/>
          <w:b/>
          <w:i/>
          <w:sz w:val="22"/>
          <w:szCs w:val="22"/>
        </w:rPr>
      </w:pPr>
      <w:r w:rsidRPr="007A1A19">
        <w:rPr>
          <w:rFonts w:asciiTheme="majorHAnsi" w:hAnsiTheme="majorHAnsi"/>
          <w:b/>
          <w:i/>
          <w:sz w:val="22"/>
          <w:szCs w:val="22"/>
        </w:rPr>
        <w:t>Gender Discrimination</w:t>
      </w:r>
    </w:p>
    <w:p w14:paraId="68882BA8" w14:textId="06D1C09E" w:rsidR="007A1A19" w:rsidRPr="007A1A19" w:rsidRDefault="007A1A19" w:rsidP="007A1A19">
      <w:pPr>
        <w:ind w:firstLine="360"/>
        <w:rPr>
          <w:rFonts w:asciiTheme="majorHAnsi" w:hAnsiTheme="majorHAnsi"/>
          <w:b/>
          <w:sz w:val="22"/>
          <w:szCs w:val="22"/>
        </w:rPr>
      </w:pPr>
      <w:r w:rsidRPr="007A1A19">
        <w:rPr>
          <w:rFonts w:asciiTheme="majorHAnsi" w:hAnsiTheme="majorHAnsi"/>
          <w:b/>
          <w:sz w:val="22"/>
          <w:szCs w:val="22"/>
        </w:rPr>
        <w:t>Author: Women’s Law Project</w:t>
      </w:r>
    </w:p>
    <w:p w14:paraId="274BE003" w14:textId="24DD9148" w:rsidR="00D96F33" w:rsidRPr="00C46090" w:rsidRDefault="00D96F33" w:rsidP="00D96F33">
      <w:pPr>
        <w:rPr>
          <w:rFonts w:asciiTheme="majorHAnsi" w:hAnsiTheme="majorHAnsi"/>
          <w:b/>
          <w:sz w:val="22"/>
          <w:szCs w:val="22"/>
        </w:rPr>
      </w:pPr>
    </w:p>
    <w:p w14:paraId="631B47DA" w14:textId="435BC689" w:rsidR="00D96F33" w:rsidRDefault="007A1A19" w:rsidP="00301C6E">
      <w:pPr>
        <w:rPr>
          <w:rFonts w:asciiTheme="majorHAnsi" w:hAnsiTheme="majorHAnsi"/>
          <w:sz w:val="22"/>
          <w:szCs w:val="22"/>
        </w:rPr>
      </w:pPr>
      <w:r w:rsidRPr="007A1A19">
        <w:rPr>
          <w:rFonts w:asciiTheme="majorHAnsi" w:hAnsiTheme="majorHAnsi"/>
          <w:sz w:val="22"/>
          <w:szCs w:val="22"/>
        </w:rPr>
        <w:t>The amicus brief asks the Court to affirm the district court's orders requiring Berks County to provide Trusty women with the freedom of movement equivalent to Trusty men, in compliance with the Equal Protection Clause. Historically, jails and prisons have failed to provide incarcerated women with the same standard of facilities provided to incarcerated men. This includes, but is not limited to, inadequate housing facilities and medical care.  For instance, in Berks County, men have more freedom and less supervision, with the ability to move throughout their assigned unit for up to thirteen hours a day. Additionally, the men have sleeping rooms separated from bathrooms and showers. Incarcerated women of the same security level, however, do not have these same freedoms. Incarcerated women at Berks County can leave their locked cells for at most six hours a day, and their locked cells include open toilets.  Although the population of incarcerated women has steadily increased, jails and prisons have failed to bring their women's facilities to the same standard as incarcerated men. Amici argues that Berks County's treatment is a violation of the Equal Protection Clause, because the Trusty women and Trusty men are similarly situated but provides Trusty women with inferior housing conditions. Additionally, providing Trusty women with unequal treatment is not substantially related to the achievement of important government objectives, therefore not justified in this situation.</w:t>
      </w:r>
    </w:p>
    <w:p w14:paraId="32DC4F29" w14:textId="48D5A61F" w:rsidR="00301C6E" w:rsidRDefault="00301C6E" w:rsidP="00301C6E">
      <w:pPr>
        <w:rPr>
          <w:rFonts w:asciiTheme="majorHAnsi" w:hAnsiTheme="majorHAnsi"/>
          <w:sz w:val="22"/>
          <w:szCs w:val="22"/>
        </w:rPr>
      </w:pPr>
    </w:p>
    <w:p w14:paraId="4752BF04" w14:textId="5CD59A0A" w:rsidR="00301C6E" w:rsidRDefault="00301C6E" w:rsidP="00301C6E">
      <w:pPr>
        <w:rPr>
          <w:rFonts w:asciiTheme="majorHAnsi" w:hAnsiTheme="majorHAnsi"/>
          <w:sz w:val="22"/>
          <w:szCs w:val="22"/>
        </w:rPr>
      </w:pPr>
      <w:r>
        <w:rPr>
          <w:rFonts w:asciiTheme="majorHAnsi" w:hAnsiTheme="majorHAnsi"/>
          <w:sz w:val="22"/>
          <w:szCs w:val="22"/>
        </w:rPr>
        <w:t>On October 11, 2019, the Third Circuit resolved the case in a short, non-</w:t>
      </w:r>
      <w:proofErr w:type="spellStart"/>
      <w:r>
        <w:rPr>
          <w:rFonts w:asciiTheme="majorHAnsi" w:hAnsiTheme="majorHAnsi"/>
          <w:sz w:val="22"/>
          <w:szCs w:val="22"/>
        </w:rPr>
        <w:t>precential</w:t>
      </w:r>
      <w:proofErr w:type="spellEnd"/>
      <w:r>
        <w:rPr>
          <w:rFonts w:asciiTheme="majorHAnsi" w:hAnsiTheme="majorHAnsi"/>
          <w:sz w:val="22"/>
          <w:szCs w:val="22"/>
        </w:rPr>
        <w:t xml:space="preserve"> opinion. The opinion did not address the incarcerated women’s constitutional sex discrimination claims, because the preliminary injunctions had already expired. </w:t>
      </w:r>
    </w:p>
    <w:p w14:paraId="62AB551A" w14:textId="61ECAC6C" w:rsidR="007A1A19" w:rsidRDefault="007A1A19" w:rsidP="00D96F33">
      <w:pPr>
        <w:rPr>
          <w:rFonts w:asciiTheme="majorHAnsi" w:hAnsiTheme="majorHAnsi"/>
          <w:sz w:val="22"/>
          <w:szCs w:val="22"/>
        </w:rPr>
      </w:pPr>
    </w:p>
    <w:p w14:paraId="1D273D91" w14:textId="77777777" w:rsidR="00684702" w:rsidRPr="00684702" w:rsidRDefault="00684702" w:rsidP="00F016D5">
      <w:pPr>
        <w:pStyle w:val="ListParagraph"/>
        <w:numPr>
          <w:ilvl w:val="0"/>
          <w:numId w:val="1"/>
        </w:numPr>
        <w:rPr>
          <w:rFonts w:asciiTheme="majorHAnsi" w:hAnsiTheme="majorHAnsi"/>
          <w:sz w:val="22"/>
          <w:szCs w:val="22"/>
        </w:rPr>
      </w:pPr>
      <w:r>
        <w:rPr>
          <w:rFonts w:asciiTheme="majorHAnsi" w:hAnsiTheme="majorHAnsi"/>
          <w:b/>
          <w:i/>
          <w:sz w:val="22"/>
          <w:szCs w:val="22"/>
          <w:u w:val="single"/>
        </w:rPr>
        <w:t xml:space="preserve">Chelsea Nicole McDowell v. </w:t>
      </w:r>
      <w:proofErr w:type="spellStart"/>
      <w:r>
        <w:rPr>
          <w:rFonts w:asciiTheme="majorHAnsi" w:hAnsiTheme="majorHAnsi"/>
          <w:b/>
          <w:i/>
          <w:sz w:val="22"/>
          <w:szCs w:val="22"/>
          <w:u w:val="single"/>
        </w:rPr>
        <w:t>Blaxin</w:t>
      </w:r>
      <w:proofErr w:type="spellEnd"/>
      <w:r>
        <w:rPr>
          <w:rFonts w:asciiTheme="majorHAnsi" w:hAnsiTheme="majorHAnsi"/>
          <w:b/>
          <w:i/>
          <w:sz w:val="22"/>
          <w:szCs w:val="22"/>
          <w:u w:val="single"/>
        </w:rPr>
        <w:t xml:space="preserve"> Wings Inc., </w:t>
      </w:r>
      <w:r>
        <w:rPr>
          <w:rFonts w:asciiTheme="majorHAnsi" w:hAnsiTheme="majorHAnsi"/>
          <w:b/>
          <w:sz w:val="22"/>
          <w:szCs w:val="22"/>
        </w:rPr>
        <w:t>(CA Supreme Court), filed 8/21/19</w:t>
      </w:r>
    </w:p>
    <w:p w14:paraId="5338532F" w14:textId="77777777" w:rsidR="00301C6E" w:rsidRDefault="00684702" w:rsidP="00684702">
      <w:pPr>
        <w:ind w:left="360"/>
        <w:rPr>
          <w:rFonts w:asciiTheme="majorHAnsi" w:hAnsiTheme="majorHAnsi"/>
          <w:b/>
          <w:sz w:val="22"/>
          <w:szCs w:val="22"/>
        </w:rPr>
      </w:pPr>
      <w:r>
        <w:rPr>
          <w:rFonts w:asciiTheme="majorHAnsi" w:hAnsiTheme="majorHAnsi"/>
          <w:b/>
          <w:i/>
          <w:sz w:val="22"/>
          <w:szCs w:val="22"/>
        </w:rPr>
        <w:t>Sexual Harassment</w:t>
      </w:r>
      <w:r>
        <w:rPr>
          <w:rFonts w:asciiTheme="majorHAnsi" w:hAnsiTheme="majorHAnsi"/>
          <w:b/>
          <w:i/>
          <w:sz w:val="22"/>
          <w:szCs w:val="22"/>
        </w:rPr>
        <w:br/>
      </w:r>
      <w:r>
        <w:rPr>
          <w:rFonts w:asciiTheme="majorHAnsi" w:hAnsiTheme="majorHAnsi"/>
          <w:b/>
          <w:sz w:val="22"/>
          <w:szCs w:val="22"/>
        </w:rPr>
        <w:t>Author: Equal Rights Advocate</w:t>
      </w:r>
      <w:r w:rsidR="00301C6E">
        <w:rPr>
          <w:rFonts w:asciiTheme="majorHAnsi" w:hAnsiTheme="majorHAnsi"/>
          <w:b/>
          <w:sz w:val="22"/>
          <w:szCs w:val="22"/>
        </w:rPr>
        <w:t>s</w:t>
      </w:r>
    </w:p>
    <w:p w14:paraId="23BE37DB" w14:textId="77777777" w:rsidR="00301C6E" w:rsidRDefault="00301C6E" w:rsidP="00301C6E">
      <w:pPr>
        <w:rPr>
          <w:rFonts w:asciiTheme="majorHAnsi" w:hAnsiTheme="majorHAnsi"/>
          <w:b/>
          <w:sz w:val="22"/>
          <w:szCs w:val="22"/>
        </w:rPr>
      </w:pPr>
    </w:p>
    <w:p w14:paraId="6532D812" w14:textId="77777777" w:rsidR="00301C6E" w:rsidRDefault="00684702" w:rsidP="00301C6E">
      <w:pPr>
        <w:rPr>
          <w:rFonts w:asciiTheme="majorHAnsi" w:hAnsiTheme="majorHAnsi"/>
          <w:sz w:val="22"/>
          <w:szCs w:val="22"/>
        </w:rPr>
      </w:pPr>
      <w:r w:rsidRPr="00684702">
        <w:rPr>
          <w:rFonts w:asciiTheme="majorHAnsi" w:hAnsiTheme="majorHAnsi"/>
          <w:sz w:val="22"/>
          <w:szCs w:val="22"/>
        </w:rPr>
        <w:t>This amicus brief asks the Court to grant the Petition for Review or, alternatively, remand the case to the Court of Appeal with directions to grant Plaintiff's relief. Amici discuss the prevalence of sexual harassment in the workplace and the underreporting of this behavior. Refusing to report often comes from many factors, including fear of retaliation or blame. Part of the reason this fear exists is the current practice in civil rights claims of sexual harassment. Unfortunately, it is not uncommon for a victim's privacy to be infringed upon by bringing in their sexual, medical, or mental health history to be used against them. There is no legal or policy justification for this behavior, and every victim's right to privacy should be protected, rather than use discovery to humiliate the victim.</w:t>
      </w:r>
    </w:p>
    <w:p w14:paraId="6617C175" w14:textId="77777777" w:rsidR="00301C6E" w:rsidRDefault="00301C6E" w:rsidP="00301C6E">
      <w:pPr>
        <w:rPr>
          <w:rFonts w:asciiTheme="majorHAnsi" w:hAnsiTheme="majorHAnsi"/>
          <w:sz w:val="22"/>
          <w:szCs w:val="22"/>
        </w:rPr>
      </w:pPr>
    </w:p>
    <w:p w14:paraId="58763635" w14:textId="430337A5" w:rsidR="00684702" w:rsidRPr="00684702" w:rsidRDefault="00301C6E" w:rsidP="00301C6E">
      <w:pPr>
        <w:rPr>
          <w:rFonts w:asciiTheme="majorHAnsi" w:hAnsiTheme="majorHAnsi"/>
          <w:sz w:val="22"/>
          <w:szCs w:val="22"/>
        </w:rPr>
      </w:pPr>
      <w:r>
        <w:rPr>
          <w:rFonts w:asciiTheme="majorHAnsi" w:hAnsiTheme="majorHAnsi"/>
          <w:sz w:val="22"/>
          <w:szCs w:val="22"/>
        </w:rPr>
        <w:t xml:space="preserve">On August 28, 2019, the Court summarily denied the Petition for Review. </w:t>
      </w:r>
      <w:r w:rsidR="00684702" w:rsidRPr="00684702">
        <w:rPr>
          <w:rFonts w:asciiTheme="majorHAnsi" w:hAnsiTheme="majorHAnsi"/>
          <w:sz w:val="22"/>
          <w:szCs w:val="22"/>
        </w:rPr>
        <w:br/>
      </w:r>
    </w:p>
    <w:p w14:paraId="4F9F8D3D" w14:textId="7A98F183" w:rsidR="007A1A19" w:rsidRDefault="007A1A19" w:rsidP="00F016D5">
      <w:pPr>
        <w:pStyle w:val="ListParagraph"/>
        <w:numPr>
          <w:ilvl w:val="0"/>
          <w:numId w:val="1"/>
        </w:numPr>
        <w:rPr>
          <w:rFonts w:asciiTheme="majorHAnsi" w:hAnsiTheme="majorHAnsi"/>
          <w:b/>
          <w:sz w:val="22"/>
          <w:szCs w:val="22"/>
        </w:rPr>
      </w:pPr>
      <w:r w:rsidRPr="007A1A19">
        <w:rPr>
          <w:rFonts w:asciiTheme="majorHAnsi" w:hAnsiTheme="majorHAnsi"/>
          <w:b/>
          <w:i/>
          <w:sz w:val="22"/>
          <w:szCs w:val="22"/>
          <w:u w:val="single"/>
        </w:rPr>
        <w:lastRenderedPageBreak/>
        <w:t xml:space="preserve">Aileen </w:t>
      </w:r>
      <w:proofErr w:type="spellStart"/>
      <w:r w:rsidRPr="007A1A19">
        <w:rPr>
          <w:rFonts w:asciiTheme="majorHAnsi" w:hAnsiTheme="majorHAnsi"/>
          <w:b/>
          <w:i/>
          <w:sz w:val="22"/>
          <w:szCs w:val="22"/>
          <w:u w:val="single"/>
        </w:rPr>
        <w:t>Rizo</w:t>
      </w:r>
      <w:proofErr w:type="spellEnd"/>
      <w:r w:rsidRPr="007A1A19">
        <w:rPr>
          <w:rFonts w:asciiTheme="majorHAnsi" w:hAnsiTheme="majorHAnsi"/>
          <w:b/>
          <w:i/>
          <w:sz w:val="22"/>
          <w:szCs w:val="22"/>
          <w:u w:val="single"/>
        </w:rPr>
        <w:t xml:space="preserve"> v. Jim </w:t>
      </w:r>
      <w:proofErr w:type="spellStart"/>
      <w:r w:rsidRPr="007A1A19">
        <w:rPr>
          <w:rFonts w:asciiTheme="majorHAnsi" w:hAnsiTheme="majorHAnsi"/>
          <w:b/>
          <w:i/>
          <w:sz w:val="22"/>
          <w:szCs w:val="22"/>
          <w:u w:val="single"/>
        </w:rPr>
        <w:t>Yovino</w:t>
      </w:r>
      <w:proofErr w:type="spellEnd"/>
      <w:r w:rsidRPr="007A1A19">
        <w:rPr>
          <w:rFonts w:asciiTheme="majorHAnsi" w:hAnsiTheme="majorHAnsi"/>
          <w:b/>
          <w:i/>
          <w:sz w:val="22"/>
          <w:szCs w:val="22"/>
          <w:u w:val="single"/>
        </w:rPr>
        <w:t xml:space="preserve">, Fresno County Superintendent of Schools, Erroneously Sued Herein as Fresno County Office of Education. </w:t>
      </w:r>
      <w:r w:rsidRPr="007A1A19">
        <w:rPr>
          <w:rFonts w:asciiTheme="majorHAnsi" w:hAnsiTheme="majorHAnsi"/>
          <w:b/>
          <w:sz w:val="22"/>
          <w:szCs w:val="22"/>
        </w:rPr>
        <w:t>(Ninth Circuit), filed 9/20/2019</w:t>
      </w:r>
    </w:p>
    <w:p w14:paraId="6F6DF0DD" w14:textId="7D87660D" w:rsidR="007A1A19" w:rsidRDefault="007A1A19" w:rsidP="007A1A19">
      <w:pPr>
        <w:ind w:left="360"/>
        <w:rPr>
          <w:rFonts w:asciiTheme="majorHAnsi" w:hAnsiTheme="majorHAnsi"/>
          <w:b/>
          <w:i/>
          <w:sz w:val="22"/>
          <w:szCs w:val="22"/>
        </w:rPr>
      </w:pPr>
      <w:r>
        <w:rPr>
          <w:rFonts w:asciiTheme="majorHAnsi" w:hAnsiTheme="majorHAnsi"/>
          <w:b/>
          <w:i/>
          <w:sz w:val="22"/>
          <w:szCs w:val="22"/>
        </w:rPr>
        <w:t>Wage Discrimination</w:t>
      </w:r>
    </w:p>
    <w:p w14:paraId="4E6306EB" w14:textId="331760F5" w:rsidR="007A1A19" w:rsidRDefault="007A1A19" w:rsidP="007A1A19">
      <w:pPr>
        <w:ind w:left="360"/>
        <w:rPr>
          <w:rFonts w:asciiTheme="majorHAnsi" w:hAnsiTheme="majorHAnsi"/>
          <w:b/>
          <w:sz w:val="22"/>
          <w:szCs w:val="22"/>
        </w:rPr>
      </w:pPr>
      <w:r>
        <w:rPr>
          <w:rFonts w:asciiTheme="majorHAnsi" w:hAnsiTheme="majorHAnsi"/>
          <w:b/>
          <w:sz w:val="22"/>
          <w:szCs w:val="22"/>
        </w:rPr>
        <w:t xml:space="preserve">Author: Equal Rights Advocates </w:t>
      </w:r>
    </w:p>
    <w:p w14:paraId="464C33CB" w14:textId="77777777" w:rsidR="00301C6E" w:rsidRDefault="00301C6E" w:rsidP="00301C6E">
      <w:pPr>
        <w:rPr>
          <w:rFonts w:asciiTheme="majorHAnsi" w:hAnsiTheme="majorHAnsi"/>
          <w:sz w:val="22"/>
          <w:szCs w:val="22"/>
        </w:rPr>
      </w:pPr>
    </w:p>
    <w:p w14:paraId="329B13C7" w14:textId="3B213F0F" w:rsidR="007A1A19" w:rsidRDefault="007A1A19" w:rsidP="00301C6E">
      <w:pPr>
        <w:rPr>
          <w:rFonts w:asciiTheme="majorHAnsi" w:hAnsiTheme="majorHAnsi"/>
          <w:sz w:val="22"/>
          <w:szCs w:val="22"/>
        </w:rPr>
      </w:pPr>
      <w:r w:rsidRPr="007A1A19">
        <w:rPr>
          <w:rFonts w:asciiTheme="majorHAnsi" w:hAnsiTheme="majorHAnsi"/>
          <w:sz w:val="22"/>
          <w:szCs w:val="22"/>
        </w:rPr>
        <w:t>The amicus brief asks the court to support the conclusion that employers cannot rely on prior salary to justify paying women and men unequally for work. This brief was filed in response to the Court's order to address the Supreme Court's opinion in a recent case, as well as any other developments. The developments related to this case support the conclusion the amici argue. The amici argue that employers cannot rely on prior salary as a "factor other than sex" under the Equal Pay Act because employers cannot use a history of systemic wage discrimination to justify their current wage inequity. The amici show how women earn less than men from the outset of their careers, therefore using prior salary to justify discrimination perpetuates pay disparities.</w:t>
      </w:r>
    </w:p>
    <w:p w14:paraId="057CF314" w14:textId="5220B960" w:rsidR="00BA00D3" w:rsidRDefault="00BA00D3" w:rsidP="00301C6E">
      <w:pPr>
        <w:rPr>
          <w:rFonts w:asciiTheme="majorHAnsi" w:hAnsiTheme="majorHAnsi"/>
          <w:sz w:val="22"/>
          <w:szCs w:val="22"/>
        </w:rPr>
      </w:pPr>
    </w:p>
    <w:p w14:paraId="4C7481C0" w14:textId="02F2429D" w:rsidR="00BA00D3" w:rsidRDefault="00BA00D3" w:rsidP="00301C6E">
      <w:pPr>
        <w:rPr>
          <w:rFonts w:asciiTheme="majorHAnsi" w:hAnsiTheme="majorHAnsi"/>
          <w:sz w:val="22"/>
          <w:szCs w:val="22"/>
        </w:rPr>
      </w:pPr>
      <w:r>
        <w:rPr>
          <w:rFonts w:asciiTheme="majorHAnsi" w:hAnsiTheme="majorHAnsi"/>
          <w:sz w:val="22"/>
          <w:szCs w:val="22"/>
        </w:rPr>
        <w:t xml:space="preserve">The case was submitted on the briefs (without oral argument) on September 24, 2019. </w:t>
      </w:r>
    </w:p>
    <w:p w14:paraId="55AF1CEE" w14:textId="39F5AEF4" w:rsidR="00DD4BDB" w:rsidRDefault="00DD4BDB" w:rsidP="00BA00D3">
      <w:pPr>
        <w:rPr>
          <w:rFonts w:asciiTheme="majorHAnsi" w:hAnsiTheme="majorHAnsi"/>
          <w:sz w:val="22"/>
          <w:szCs w:val="22"/>
        </w:rPr>
      </w:pPr>
    </w:p>
    <w:p w14:paraId="21458DF9" w14:textId="1B777135" w:rsidR="00DD4BDB" w:rsidRPr="00DD4BDB" w:rsidRDefault="00DD4BDB" w:rsidP="00F016D5">
      <w:pPr>
        <w:pStyle w:val="ListParagraph"/>
        <w:numPr>
          <w:ilvl w:val="0"/>
          <w:numId w:val="1"/>
        </w:numPr>
        <w:rPr>
          <w:rFonts w:asciiTheme="majorHAnsi" w:hAnsiTheme="majorHAnsi"/>
          <w:b/>
          <w:sz w:val="22"/>
          <w:szCs w:val="22"/>
        </w:rPr>
      </w:pPr>
      <w:r w:rsidRPr="00DD4BDB">
        <w:rPr>
          <w:rFonts w:asciiTheme="majorHAnsi" w:hAnsiTheme="majorHAnsi"/>
          <w:b/>
          <w:i/>
          <w:sz w:val="22"/>
          <w:szCs w:val="22"/>
          <w:u w:val="single"/>
        </w:rPr>
        <w:t xml:space="preserve">Jennifer Joy </w:t>
      </w:r>
      <w:proofErr w:type="spellStart"/>
      <w:r w:rsidRPr="00DD4BDB">
        <w:rPr>
          <w:rFonts w:asciiTheme="majorHAnsi" w:hAnsiTheme="majorHAnsi"/>
          <w:b/>
          <w:i/>
          <w:sz w:val="22"/>
          <w:szCs w:val="22"/>
          <w:u w:val="single"/>
        </w:rPr>
        <w:t>Freyd</w:t>
      </w:r>
      <w:proofErr w:type="spellEnd"/>
      <w:r w:rsidRPr="00DD4BDB">
        <w:rPr>
          <w:rFonts w:asciiTheme="majorHAnsi" w:hAnsiTheme="majorHAnsi"/>
          <w:b/>
          <w:i/>
          <w:sz w:val="22"/>
          <w:szCs w:val="22"/>
          <w:u w:val="single"/>
        </w:rPr>
        <w:t xml:space="preserve"> v. University of Oregon, Hal </w:t>
      </w:r>
      <w:proofErr w:type="spellStart"/>
      <w:r w:rsidRPr="00DD4BDB">
        <w:rPr>
          <w:rFonts w:asciiTheme="majorHAnsi" w:hAnsiTheme="majorHAnsi"/>
          <w:b/>
          <w:i/>
          <w:sz w:val="22"/>
          <w:szCs w:val="22"/>
          <w:u w:val="single"/>
        </w:rPr>
        <w:t>Sadofsky</w:t>
      </w:r>
      <w:proofErr w:type="spellEnd"/>
      <w:r w:rsidRPr="00DD4BDB">
        <w:rPr>
          <w:rFonts w:asciiTheme="majorHAnsi" w:hAnsiTheme="majorHAnsi"/>
          <w:b/>
          <w:i/>
          <w:sz w:val="22"/>
          <w:szCs w:val="22"/>
          <w:u w:val="single"/>
        </w:rPr>
        <w:t xml:space="preserve">, and Michael </w:t>
      </w:r>
      <w:proofErr w:type="spellStart"/>
      <w:r w:rsidRPr="00DD4BDB">
        <w:rPr>
          <w:rFonts w:asciiTheme="majorHAnsi" w:hAnsiTheme="majorHAnsi"/>
          <w:b/>
          <w:i/>
          <w:sz w:val="22"/>
          <w:szCs w:val="22"/>
          <w:u w:val="single"/>
        </w:rPr>
        <w:t>Schill</w:t>
      </w:r>
      <w:proofErr w:type="spellEnd"/>
      <w:r w:rsidRPr="00DD4BDB">
        <w:rPr>
          <w:rFonts w:asciiTheme="majorHAnsi" w:hAnsiTheme="majorHAnsi"/>
          <w:b/>
          <w:i/>
          <w:sz w:val="22"/>
          <w:szCs w:val="22"/>
        </w:rPr>
        <w:t>.</w:t>
      </w:r>
      <w:r w:rsidRPr="00DD4BDB">
        <w:rPr>
          <w:rFonts w:asciiTheme="majorHAnsi" w:hAnsiTheme="majorHAnsi"/>
          <w:b/>
          <w:sz w:val="22"/>
          <w:szCs w:val="22"/>
        </w:rPr>
        <w:t xml:space="preserve"> (Ninth Circuit), filed 9/30/2019.</w:t>
      </w:r>
    </w:p>
    <w:p w14:paraId="503EB720" w14:textId="7BD28960" w:rsidR="00DD4BDB" w:rsidRPr="00DD4BDB" w:rsidRDefault="00DD4BDB" w:rsidP="00DD4BDB">
      <w:pPr>
        <w:ind w:left="360"/>
        <w:rPr>
          <w:rFonts w:asciiTheme="majorHAnsi" w:hAnsiTheme="majorHAnsi"/>
          <w:b/>
          <w:i/>
          <w:sz w:val="22"/>
          <w:szCs w:val="22"/>
        </w:rPr>
      </w:pPr>
      <w:r w:rsidRPr="00DD4BDB">
        <w:rPr>
          <w:rFonts w:asciiTheme="majorHAnsi" w:hAnsiTheme="majorHAnsi"/>
          <w:b/>
          <w:i/>
          <w:sz w:val="22"/>
          <w:szCs w:val="22"/>
        </w:rPr>
        <w:t>Wage Discrimination</w:t>
      </w:r>
    </w:p>
    <w:p w14:paraId="56ED187E" w14:textId="422556F2" w:rsidR="00DD4BDB" w:rsidRDefault="00DD4BDB" w:rsidP="00DD4BDB">
      <w:pPr>
        <w:ind w:left="360"/>
        <w:rPr>
          <w:rFonts w:asciiTheme="majorHAnsi" w:hAnsiTheme="majorHAnsi"/>
          <w:b/>
          <w:sz w:val="22"/>
          <w:szCs w:val="22"/>
        </w:rPr>
      </w:pPr>
      <w:r w:rsidRPr="00DD4BDB">
        <w:rPr>
          <w:rFonts w:asciiTheme="majorHAnsi" w:hAnsiTheme="majorHAnsi"/>
          <w:b/>
          <w:sz w:val="22"/>
          <w:szCs w:val="22"/>
        </w:rPr>
        <w:t xml:space="preserve">Author: Equal Rights Advocates </w:t>
      </w:r>
    </w:p>
    <w:p w14:paraId="3EA7B05B" w14:textId="77777777" w:rsidR="00BA00D3" w:rsidRDefault="00BA00D3" w:rsidP="00DD4BDB">
      <w:pPr>
        <w:ind w:left="360"/>
        <w:rPr>
          <w:rFonts w:asciiTheme="majorHAnsi" w:hAnsiTheme="majorHAnsi"/>
          <w:b/>
          <w:sz w:val="22"/>
          <w:szCs w:val="22"/>
        </w:rPr>
      </w:pPr>
    </w:p>
    <w:p w14:paraId="515418C3" w14:textId="4764B459" w:rsidR="00DD4BDB" w:rsidRDefault="00DD4BDB" w:rsidP="00BA00D3">
      <w:pPr>
        <w:rPr>
          <w:rFonts w:asciiTheme="majorHAnsi" w:hAnsiTheme="majorHAnsi"/>
          <w:sz w:val="22"/>
          <w:szCs w:val="22"/>
        </w:rPr>
      </w:pPr>
      <w:r w:rsidRPr="00DD4BDB">
        <w:rPr>
          <w:rFonts w:asciiTheme="majorHAnsi" w:hAnsiTheme="majorHAnsi"/>
          <w:sz w:val="22"/>
          <w:szCs w:val="22"/>
        </w:rPr>
        <w:t>This amicus brief asks the court to reverse the district court's decision</w:t>
      </w:r>
      <w:r w:rsidR="00BA00D3">
        <w:rPr>
          <w:rFonts w:asciiTheme="majorHAnsi" w:hAnsiTheme="majorHAnsi"/>
          <w:sz w:val="22"/>
          <w:szCs w:val="22"/>
        </w:rPr>
        <w:t xml:space="preserve"> defining </w:t>
      </w:r>
      <w:r w:rsidRPr="00DD4BDB">
        <w:rPr>
          <w:rFonts w:asciiTheme="majorHAnsi" w:hAnsiTheme="majorHAnsi"/>
          <w:sz w:val="22"/>
          <w:szCs w:val="22"/>
        </w:rPr>
        <w:t xml:space="preserve">"equal work" so narrowly that it ignores exemptions that Congress created. The amici point out that the concept of "equal work" is based on a determination that the compared jobs are substantially equal, not identical.  Amici points out that there is evidence that shows female professors in the Psychology department </w:t>
      </w:r>
      <w:r w:rsidR="002B3367" w:rsidRPr="00DD4BDB">
        <w:rPr>
          <w:rFonts w:asciiTheme="majorHAnsi" w:hAnsiTheme="majorHAnsi"/>
          <w:sz w:val="22"/>
          <w:szCs w:val="22"/>
        </w:rPr>
        <w:t>received</w:t>
      </w:r>
      <w:r w:rsidRPr="00DD4BDB">
        <w:rPr>
          <w:rFonts w:asciiTheme="majorHAnsi" w:hAnsiTheme="majorHAnsi"/>
          <w:sz w:val="22"/>
          <w:szCs w:val="22"/>
        </w:rPr>
        <w:t xml:space="preserve"> 5 out of 26 retention raises while being 49% of the department faculty. The practice the University was using for retention raises continued gender wage disparities and was not a valid "factor other than sex" under the Equal Pay Act.</w:t>
      </w:r>
    </w:p>
    <w:p w14:paraId="7D678748" w14:textId="07BDC3E7" w:rsidR="00BA00D3" w:rsidRDefault="00BA00D3" w:rsidP="00DD4BDB">
      <w:pPr>
        <w:ind w:left="360"/>
        <w:rPr>
          <w:rFonts w:asciiTheme="majorHAnsi" w:hAnsiTheme="majorHAnsi"/>
          <w:sz w:val="22"/>
          <w:szCs w:val="22"/>
        </w:rPr>
      </w:pPr>
    </w:p>
    <w:p w14:paraId="16113A61" w14:textId="4BD12451" w:rsidR="00BA00D3" w:rsidRDefault="00BA00D3" w:rsidP="00BA00D3">
      <w:pPr>
        <w:rPr>
          <w:rFonts w:asciiTheme="majorHAnsi" w:hAnsiTheme="majorHAnsi"/>
          <w:sz w:val="22"/>
          <w:szCs w:val="22"/>
        </w:rPr>
      </w:pPr>
      <w:r>
        <w:rPr>
          <w:rFonts w:asciiTheme="majorHAnsi" w:hAnsiTheme="majorHAnsi"/>
          <w:sz w:val="22"/>
          <w:szCs w:val="22"/>
        </w:rPr>
        <w:t xml:space="preserve">Oral argument has not yet been scheduled. </w:t>
      </w:r>
    </w:p>
    <w:p w14:paraId="3BB1EE8C" w14:textId="1E419F90" w:rsidR="00B60FBB" w:rsidRDefault="00B60FBB" w:rsidP="00B60FBB">
      <w:pPr>
        <w:rPr>
          <w:rFonts w:asciiTheme="majorHAnsi" w:hAnsiTheme="majorHAnsi"/>
          <w:sz w:val="22"/>
          <w:szCs w:val="22"/>
        </w:rPr>
      </w:pPr>
    </w:p>
    <w:p w14:paraId="56930DA2" w14:textId="004E421D" w:rsidR="00B60FBB" w:rsidRPr="00B60FBB" w:rsidRDefault="00B60FBB" w:rsidP="00F016D5">
      <w:pPr>
        <w:pStyle w:val="ListParagraph"/>
        <w:numPr>
          <w:ilvl w:val="0"/>
          <w:numId w:val="1"/>
        </w:numPr>
        <w:rPr>
          <w:rFonts w:asciiTheme="majorHAnsi" w:hAnsiTheme="majorHAnsi"/>
          <w:b/>
          <w:i/>
          <w:sz w:val="22"/>
          <w:szCs w:val="22"/>
          <w:u w:val="single"/>
        </w:rPr>
      </w:pPr>
      <w:r w:rsidRPr="00B60FBB">
        <w:rPr>
          <w:rFonts w:asciiTheme="majorHAnsi" w:hAnsiTheme="majorHAnsi"/>
          <w:b/>
          <w:i/>
          <w:sz w:val="22"/>
          <w:szCs w:val="22"/>
          <w:u w:val="single"/>
        </w:rPr>
        <w:t>National Women's Law Center, et al. v. Office of Management and Budget, et al.</w:t>
      </w:r>
      <w:r>
        <w:rPr>
          <w:rFonts w:asciiTheme="majorHAnsi" w:hAnsiTheme="majorHAnsi"/>
          <w:b/>
          <w:i/>
          <w:sz w:val="22"/>
          <w:szCs w:val="22"/>
          <w:u w:val="single"/>
        </w:rPr>
        <w:t xml:space="preserve"> </w:t>
      </w:r>
      <w:r>
        <w:rPr>
          <w:rFonts w:asciiTheme="majorHAnsi" w:hAnsiTheme="majorHAnsi"/>
          <w:b/>
          <w:sz w:val="22"/>
          <w:szCs w:val="22"/>
        </w:rPr>
        <w:t>(US Court of Appeals District of Columbia), filed 10/25/19</w:t>
      </w:r>
    </w:p>
    <w:p w14:paraId="554AF05B" w14:textId="34C35F95" w:rsidR="00B60FBB" w:rsidRDefault="00B60FBB" w:rsidP="00B60FBB">
      <w:pPr>
        <w:ind w:left="360"/>
        <w:rPr>
          <w:rFonts w:asciiTheme="majorHAnsi" w:hAnsiTheme="majorHAnsi"/>
          <w:b/>
          <w:i/>
          <w:sz w:val="22"/>
          <w:szCs w:val="22"/>
        </w:rPr>
      </w:pPr>
      <w:r>
        <w:rPr>
          <w:rFonts w:asciiTheme="majorHAnsi" w:hAnsiTheme="majorHAnsi"/>
          <w:b/>
          <w:i/>
          <w:sz w:val="22"/>
          <w:szCs w:val="22"/>
        </w:rPr>
        <w:t>Wage Discrimination</w:t>
      </w:r>
    </w:p>
    <w:p w14:paraId="0BEF00A7" w14:textId="60F0B71A" w:rsidR="00B60FBB" w:rsidRDefault="00B60FBB" w:rsidP="00B60FBB">
      <w:pPr>
        <w:ind w:left="360"/>
        <w:rPr>
          <w:rFonts w:asciiTheme="majorHAnsi" w:hAnsiTheme="majorHAnsi"/>
          <w:b/>
          <w:sz w:val="22"/>
          <w:szCs w:val="22"/>
        </w:rPr>
      </w:pPr>
      <w:r>
        <w:rPr>
          <w:rFonts w:asciiTheme="majorHAnsi" w:hAnsiTheme="majorHAnsi"/>
          <w:b/>
          <w:sz w:val="22"/>
          <w:szCs w:val="22"/>
        </w:rPr>
        <w:t xml:space="preserve">Author: </w:t>
      </w:r>
      <w:r w:rsidR="005E7E40">
        <w:rPr>
          <w:rFonts w:asciiTheme="majorHAnsi" w:hAnsiTheme="majorHAnsi"/>
          <w:b/>
          <w:sz w:val="22"/>
          <w:szCs w:val="22"/>
        </w:rPr>
        <w:t>ACLU Women’s Rights Project</w:t>
      </w:r>
    </w:p>
    <w:p w14:paraId="7FF9B103" w14:textId="77777777" w:rsidR="00BA00D3" w:rsidRPr="00B60FBB" w:rsidRDefault="00BA00D3" w:rsidP="00B60FBB">
      <w:pPr>
        <w:ind w:left="360"/>
        <w:rPr>
          <w:rFonts w:asciiTheme="majorHAnsi" w:hAnsiTheme="majorHAnsi"/>
          <w:b/>
          <w:sz w:val="22"/>
          <w:szCs w:val="22"/>
        </w:rPr>
      </w:pPr>
    </w:p>
    <w:p w14:paraId="19B443BE" w14:textId="4C6E4B85" w:rsidR="00B60FBB" w:rsidRDefault="00B60FBB" w:rsidP="00BA00D3">
      <w:pPr>
        <w:rPr>
          <w:rFonts w:asciiTheme="majorHAnsi" w:hAnsiTheme="majorHAnsi"/>
          <w:sz w:val="22"/>
          <w:szCs w:val="22"/>
        </w:rPr>
      </w:pPr>
      <w:r w:rsidRPr="00B60FBB">
        <w:rPr>
          <w:rFonts w:asciiTheme="majorHAnsi" w:hAnsiTheme="majorHAnsi"/>
          <w:sz w:val="22"/>
          <w:szCs w:val="22"/>
        </w:rPr>
        <w:t>Here, amici request that this court affirm the district court's judgment. The district court ordered the Equal Employment Opportunity Commission (EEOC) to collect data which promises transparency in private-sector pay. Amici not only concur that the district court was correct, because this pay data collection was justified by law and circumstance, but assert that the pay data would be beneficial for the public in many ways. By providing this information to the public, it would help the EEOC assess discrimination charges and guiding investigations, facilitate self-assessments and compliance by employers, help organizations effectively use their resources, and enable policymakers to assess state and local legislative efforts.</w:t>
      </w:r>
    </w:p>
    <w:p w14:paraId="3E541564" w14:textId="3AC582A2" w:rsidR="00BA00D3" w:rsidRDefault="00BA00D3" w:rsidP="00BA00D3">
      <w:pPr>
        <w:rPr>
          <w:rFonts w:asciiTheme="majorHAnsi" w:hAnsiTheme="majorHAnsi"/>
          <w:sz w:val="22"/>
          <w:szCs w:val="22"/>
        </w:rPr>
      </w:pPr>
    </w:p>
    <w:p w14:paraId="46314A82" w14:textId="54FDE274" w:rsidR="00BA00D3" w:rsidRPr="00B60FBB" w:rsidRDefault="00BA00D3" w:rsidP="00BA00D3">
      <w:pPr>
        <w:rPr>
          <w:rFonts w:asciiTheme="majorHAnsi" w:hAnsiTheme="majorHAnsi"/>
          <w:sz w:val="22"/>
          <w:szCs w:val="22"/>
        </w:rPr>
      </w:pPr>
      <w:r>
        <w:rPr>
          <w:rFonts w:asciiTheme="majorHAnsi" w:hAnsiTheme="majorHAnsi"/>
          <w:sz w:val="22"/>
          <w:szCs w:val="22"/>
        </w:rPr>
        <w:t xml:space="preserve">The appeal is pending, no oral argument has been scheduled. </w:t>
      </w:r>
    </w:p>
    <w:p w14:paraId="51F3B3A3" w14:textId="77777777" w:rsidR="00CC5C8E" w:rsidRDefault="00CC5C8E" w:rsidP="005E7E40">
      <w:pPr>
        <w:rPr>
          <w:rFonts w:asciiTheme="majorHAnsi" w:hAnsiTheme="majorHAnsi"/>
          <w:sz w:val="22"/>
          <w:szCs w:val="22"/>
        </w:rPr>
      </w:pPr>
    </w:p>
    <w:p w14:paraId="52D5A769" w14:textId="16A36826" w:rsidR="00CC5C8E" w:rsidRPr="005E7E40" w:rsidRDefault="00CC5C8E" w:rsidP="00F016D5">
      <w:pPr>
        <w:pStyle w:val="ListParagraph"/>
        <w:numPr>
          <w:ilvl w:val="0"/>
          <w:numId w:val="1"/>
        </w:numPr>
        <w:rPr>
          <w:rFonts w:asciiTheme="majorHAnsi" w:hAnsiTheme="majorHAnsi"/>
          <w:b/>
          <w:sz w:val="22"/>
          <w:szCs w:val="22"/>
        </w:rPr>
      </w:pPr>
      <w:r w:rsidRPr="005E7E40">
        <w:rPr>
          <w:rFonts w:asciiTheme="majorHAnsi" w:hAnsiTheme="majorHAnsi"/>
          <w:b/>
          <w:i/>
          <w:sz w:val="22"/>
          <w:szCs w:val="22"/>
          <w:u w:val="single"/>
        </w:rPr>
        <w:lastRenderedPageBreak/>
        <w:t xml:space="preserve">June Medical Services L.L.C., et al., v. Dr. Rebekah Gee </w:t>
      </w:r>
      <w:r w:rsidRPr="005E7E40">
        <w:rPr>
          <w:rFonts w:asciiTheme="majorHAnsi" w:hAnsiTheme="majorHAnsi"/>
          <w:b/>
          <w:sz w:val="22"/>
          <w:szCs w:val="22"/>
        </w:rPr>
        <w:t>(Supreme Court)</w:t>
      </w:r>
      <w:r w:rsidR="005E7E40">
        <w:rPr>
          <w:rFonts w:asciiTheme="majorHAnsi" w:hAnsiTheme="majorHAnsi"/>
          <w:b/>
          <w:sz w:val="22"/>
          <w:szCs w:val="22"/>
        </w:rPr>
        <w:t>, filed 12/2/19</w:t>
      </w:r>
    </w:p>
    <w:p w14:paraId="02778DCA" w14:textId="0D0FBFC2" w:rsidR="00CC5C8E" w:rsidRDefault="00CC5C8E" w:rsidP="00DD4BDB">
      <w:pPr>
        <w:ind w:left="360"/>
        <w:rPr>
          <w:rFonts w:asciiTheme="majorHAnsi" w:hAnsiTheme="majorHAnsi"/>
          <w:b/>
          <w:i/>
          <w:sz w:val="22"/>
          <w:szCs w:val="22"/>
        </w:rPr>
      </w:pPr>
      <w:r>
        <w:rPr>
          <w:rFonts w:asciiTheme="majorHAnsi" w:hAnsiTheme="majorHAnsi"/>
          <w:b/>
          <w:i/>
          <w:sz w:val="22"/>
          <w:szCs w:val="22"/>
        </w:rPr>
        <w:t>Abortion Rights</w:t>
      </w:r>
    </w:p>
    <w:p w14:paraId="303C2163" w14:textId="2676DF6E" w:rsidR="00CC5C8E" w:rsidRPr="00CC5C8E" w:rsidRDefault="00CC5C8E" w:rsidP="00DD4BDB">
      <w:pPr>
        <w:ind w:left="360"/>
        <w:rPr>
          <w:rFonts w:asciiTheme="majorHAnsi" w:hAnsiTheme="majorHAnsi"/>
          <w:b/>
          <w:sz w:val="22"/>
          <w:szCs w:val="22"/>
        </w:rPr>
      </w:pPr>
      <w:r>
        <w:rPr>
          <w:rFonts w:asciiTheme="majorHAnsi" w:hAnsiTheme="majorHAnsi"/>
          <w:b/>
          <w:sz w:val="22"/>
          <w:szCs w:val="22"/>
        </w:rPr>
        <w:t>Author: National Women’s Law Center</w:t>
      </w:r>
    </w:p>
    <w:p w14:paraId="3CEA475F" w14:textId="77777777" w:rsidR="005E7E40" w:rsidRDefault="005E7E40" w:rsidP="005E7E40">
      <w:pPr>
        <w:rPr>
          <w:rFonts w:asciiTheme="majorHAnsi" w:hAnsiTheme="majorHAnsi"/>
          <w:sz w:val="22"/>
          <w:szCs w:val="22"/>
        </w:rPr>
      </w:pPr>
    </w:p>
    <w:p w14:paraId="15350F39" w14:textId="4B0D130D" w:rsidR="00CC5C8E" w:rsidRDefault="00CC5C8E" w:rsidP="005E7E40">
      <w:pPr>
        <w:rPr>
          <w:rFonts w:asciiTheme="majorHAnsi" w:hAnsiTheme="majorHAnsi"/>
          <w:sz w:val="22"/>
          <w:szCs w:val="22"/>
        </w:rPr>
      </w:pPr>
      <w:r w:rsidRPr="00CC5C8E">
        <w:rPr>
          <w:rFonts w:asciiTheme="majorHAnsi" w:hAnsiTheme="majorHAnsi"/>
          <w:sz w:val="22"/>
          <w:szCs w:val="22"/>
        </w:rPr>
        <w:t>Amici request that the Supreme Court reverse the judgement of the Fifth Circuit. Act 620, the act in controversy here, requires that a physician providing abortions hold “active admitting privileges” at a hospital located within thirty miles from where the abortion is provided. The purpose and effect of this provision will be to drastically reduce the number of abortion providers, leaving one provider in one clinic in a state with nearly one million women of reproductive age, thereby sharply curtailing the availability of abortion care in Louisiana. Amici argues that a similar Texas law was invalidated by the Supreme court only three years ago. The invalidation of this law reaffirmed that a woman's right to decide to have an abortion is a constitutionally protected personal liberty. Act 620 imposes an undue burden on a woman's ability to make her own reproductive decisions, thereby depriving her the right to liberty promised by the Constitution.</w:t>
      </w:r>
    </w:p>
    <w:p w14:paraId="4FA0BBE1" w14:textId="64547EA1" w:rsidR="006A241B" w:rsidRDefault="006A241B" w:rsidP="005E7E40">
      <w:pPr>
        <w:rPr>
          <w:rFonts w:asciiTheme="majorHAnsi" w:hAnsiTheme="majorHAnsi"/>
          <w:sz w:val="22"/>
          <w:szCs w:val="22"/>
        </w:rPr>
      </w:pPr>
    </w:p>
    <w:p w14:paraId="188AC2CD" w14:textId="163FA427" w:rsidR="006A241B" w:rsidRDefault="009F09A4" w:rsidP="006A241B">
      <w:pPr>
        <w:pStyle w:val="ListParagraph"/>
        <w:numPr>
          <w:ilvl w:val="0"/>
          <w:numId w:val="1"/>
        </w:numPr>
        <w:rPr>
          <w:rFonts w:asciiTheme="majorHAnsi" w:hAnsiTheme="majorHAnsi"/>
          <w:b/>
          <w:bCs/>
          <w:sz w:val="22"/>
          <w:szCs w:val="22"/>
        </w:rPr>
      </w:pPr>
      <w:r w:rsidRPr="00270FEE">
        <w:rPr>
          <w:rFonts w:asciiTheme="majorHAnsi" w:hAnsiTheme="majorHAnsi"/>
          <w:b/>
          <w:bCs/>
          <w:i/>
          <w:iCs/>
          <w:sz w:val="22"/>
          <w:szCs w:val="22"/>
          <w:u w:val="single"/>
        </w:rPr>
        <w:t>J.S. v. D.S.</w:t>
      </w:r>
      <w:r>
        <w:rPr>
          <w:rFonts w:asciiTheme="majorHAnsi" w:hAnsiTheme="majorHAnsi"/>
          <w:sz w:val="22"/>
          <w:szCs w:val="22"/>
        </w:rPr>
        <w:t xml:space="preserve"> </w:t>
      </w:r>
      <w:r w:rsidRPr="00270FEE">
        <w:rPr>
          <w:rFonts w:asciiTheme="majorHAnsi" w:hAnsiTheme="majorHAnsi"/>
          <w:b/>
          <w:bCs/>
          <w:sz w:val="22"/>
          <w:szCs w:val="22"/>
        </w:rPr>
        <w:t>(CA Court of Appeal), filed 12/9/19</w:t>
      </w:r>
    </w:p>
    <w:p w14:paraId="22892F3B" w14:textId="5E997A35" w:rsidR="0058379F" w:rsidRPr="0058379F" w:rsidRDefault="0058379F" w:rsidP="0058379F">
      <w:pPr>
        <w:rPr>
          <w:rFonts w:asciiTheme="majorHAnsi" w:hAnsiTheme="majorHAnsi"/>
          <w:b/>
          <w:bCs/>
          <w:i/>
          <w:iCs/>
          <w:sz w:val="22"/>
          <w:szCs w:val="22"/>
        </w:rPr>
      </w:pPr>
      <w:r w:rsidRPr="0058379F">
        <w:rPr>
          <w:rFonts w:asciiTheme="majorHAnsi" w:hAnsiTheme="majorHAnsi"/>
          <w:b/>
          <w:bCs/>
          <w:i/>
          <w:iCs/>
          <w:sz w:val="22"/>
          <w:szCs w:val="22"/>
        </w:rPr>
        <w:t>Domestic Violence</w:t>
      </w:r>
    </w:p>
    <w:p w14:paraId="40F2342C" w14:textId="2108C065" w:rsidR="0058379F" w:rsidRPr="0058379F" w:rsidRDefault="0058379F" w:rsidP="0058379F">
      <w:pPr>
        <w:rPr>
          <w:rFonts w:asciiTheme="majorHAnsi" w:hAnsiTheme="majorHAnsi"/>
          <w:b/>
          <w:bCs/>
          <w:sz w:val="22"/>
          <w:szCs w:val="22"/>
        </w:rPr>
      </w:pPr>
      <w:r>
        <w:rPr>
          <w:rFonts w:asciiTheme="majorHAnsi" w:hAnsiTheme="majorHAnsi"/>
          <w:b/>
          <w:bCs/>
          <w:sz w:val="22"/>
          <w:szCs w:val="22"/>
        </w:rPr>
        <w:t>Author: Family Violence Appellate Project</w:t>
      </w:r>
    </w:p>
    <w:p w14:paraId="7BDDB4C0" w14:textId="75F33133" w:rsidR="009F09A4" w:rsidRDefault="009F09A4" w:rsidP="009F09A4">
      <w:pPr>
        <w:rPr>
          <w:rFonts w:asciiTheme="majorHAnsi" w:hAnsiTheme="majorHAnsi"/>
          <w:sz w:val="22"/>
          <w:szCs w:val="22"/>
        </w:rPr>
      </w:pPr>
    </w:p>
    <w:p w14:paraId="31426FF1" w14:textId="77777777" w:rsidR="00270FEE" w:rsidRDefault="009F09A4" w:rsidP="009F09A4">
      <w:pPr>
        <w:rPr>
          <w:rFonts w:asciiTheme="majorHAnsi" w:hAnsiTheme="majorHAnsi"/>
          <w:sz w:val="22"/>
          <w:szCs w:val="22"/>
        </w:rPr>
      </w:pPr>
      <w:r>
        <w:rPr>
          <w:rFonts w:asciiTheme="majorHAnsi" w:hAnsiTheme="majorHAnsi"/>
          <w:sz w:val="22"/>
          <w:szCs w:val="22"/>
        </w:rPr>
        <w:t xml:space="preserve">This </w:t>
      </w:r>
      <w:r w:rsidR="00417B03">
        <w:rPr>
          <w:rFonts w:asciiTheme="majorHAnsi" w:hAnsiTheme="majorHAnsi"/>
          <w:sz w:val="22"/>
          <w:szCs w:val="22"/>
        </w:rPr>
        <w:t xml:space="preserve">amicus letter requests publication of the Court of Appeal’s decision. The brief argues that the opinion should be published because it provides new and important guidance to trial courts and the bar on </w:t>
      </w:r>
      <w:r w:rsidR="006A0FA1">
        <w:rPr>
          <w:rFonts w:asciiTheme="majorHAnsi" w:hAnsiTheme="majorHAnsi"/>
          <w:sz w:val="22"/>
          <w:szCs w:val="22"/>
        </w:rPr>
        <w:t xml:space="preserve">the standard for renewing a domestic violence restraining order. First, the opinion explains, for the first time, that a restrained party’s ongoing refusal to acknowledge and address their own abusive behavior can be sufficient to justify a protected party’s reasonable apprehension of future abuse. Second, the opinion provides guidance to trial court’s </w:t>
      </w:r>
      <w:r w:rsidR="005827B8">
        <w:rPr>
          <w:rFonts w:asciiTheme="majorHAnsi" w:hAnsiTheme="majorHAnsi"/>
          <w:sz w:val="22"/>
          <w:szCs w:val="22"/>
        </w:rPr>
        <w:t xml:space="preserve">on the role of a party’s geographical relocation plays in evaluating the changed-circumstances prong of the DVRO renewal test. </w:t>
      </w:r>
    </w:p>
    <w:p w14:paraId="4B9D2523" w14:textId="77777777" w:rsidR="00270FEE" w:rsidRDefault="00270FEE" w:rsidP="009F09A4">
      <w:pPr>
        <w:rPr>
          <w:rFonts w:asciiTheme="majorHAnsi" w:hAnsiTheme="majorHAnsi"/>
          <w:sz w:val="22"/>
          <w:szCs w:val="22"/>
        </w:rPr>
      </w:pPr>
    </w:p>
    <w:p w14:paraId="0DB3728F" w14:textId="50ECB9B7" w:rsidR="009F09A4" w:rsidRDefault="00573DDD" w:rsidP="009F09A4">
      <w:pPr>
        <w:rPr>
          <w:rFonts w:asciiTheme="majorHAnsi" w:hAnsiTheme="majorHAnsi"/>
          <w:sz w:val="22"/>
          <w:szCs w:val="22"/>
        </w:rPr>
      </w:pPr>
      <w:r>
        <w:rPr>
          <w:rFonts w:asciiTheme="majorHAnsi" w:hAnsiTheme="majorHAnsi"/>
          <w:sz w:val="22"/>
          <w:szCs w:val="22"/>
        </w:rPr>
        <w:t xml:space="preserve">On </w:t>
      </w:r>
      <w:r w:rsidR="00934E2E">
        <w:rPr>
          <w:rFonts w:asciiTheme="majorHAnsi" w:hAnsiTheme="majorHAnsi"/>
          <w:sz w:val="22"/>
          <w:szCs w:val="22"/>
        </w:rPr>
        <w:t xml:space="preserve">December </w:t>
      </w:r>
      <w:r w:rsidR="001E60BF">
        <w:rPr>
          <w:rFonts w:asciiTheme="majorHAnsi" w:hAnsiTheme="majorHAnsi"/>
          <w:sz w:val="22"/>
          <w:szCs w:val="22"/>
        </w:rPr>
        <w:t xml:space="preserve">11, the Court </w:t>
      </w:r>
      <w:r w:rsidR="00695F5A">
        <w:rPr>
          <w:rFonts w:asciiTheme="majorHAnsi" w:hAnsiTheme="majorHAnsi"/>
          <w:sz w:val="22"/>
          <w:szCs w:val="22"/>
        </w:rPr>
        <w:t xml:space="preserve">denied the publication request. </w:t>
      </w:r>
      <w:r w:rsidR="00CF277F">
        <w:rPr>
          <w:rFonts w:asciiTheme="majorHAnsi" w:hAnsiTheme="majorHAnsi"/>
          <w:sz w:val="22"/>
          <w:szCs w:val="22"/>
        </w:rPr>
        <w:br/>
      </w:r>
    </w:p>
    <w:p w14:paraId="2834FDCF" w14:textId="67C9B1BD" w:rsidR="00CF277F" w:rsidRDefault="00D4097D" w:rsidP="00CF277F">
      <w:pPr>
        <w:pStyle w:val="ListParagraph"/>
        <w:numPr>
          <w:ilvl w:val="0"/>
          <w:numId w:val="1"/>
        </w:numPr>
        <w:rPr>
          <w:rFonts w:asciiTheme="majorHAnsi" w:hAnsiTheme="majorHAnsi"/>
          <w:b/>
          <w:bCs/>
          <w:sz w:val="22"/>
          <w:szCs w:val="22"/>
        </w:rPr>
      </w:pPr>
      <w:r w:rsidRPr="00695F5A">
        <w:rPr>
          <w:rFonts w:asciiTheme="majorHAnsi" w:hAnsiTheme="majorHAnsi"/>
          <w:b/>
          <w:bCs/>
          <w:i/>
          <w:iCs/>
          <w:sz w:val="22"/>
          <w:szCs w:val="22"/>
          <w:u w:val="single"/>
        </w:rPr>
        <w:t>In re K.F.</w:t>
      </w:r>
      <w:r w:rsidRPr="00223F90">
        <w:rPr>
          <w:rFonts w:asciiTheme="majorHAnsi" w:hAnsiTheme="majorHAnsi"/>
          <w:b/>
          <w:bCs/>
          <w:sz w:val="22"/>
          <w:szCs w:val="22"/>
        </w:rPr>
        <w:t xml:space="preserve"> </w:t>
      </w:r>
      <w:r w:rsidR="00223F90" w:rsidRPr="00223F90">
        <w:rPr>
          <w:rFonts w:asciiTheme="majorHAnsi" w:hAnsiTheme="majorHAnsi"/>
          <w:b/>
          <w:bCs/>
          <w:sz w:val="22"/>
          <w:szCs w:val="22"/>
        </w:rPr>
        <w:t>(CA Supreme Court), filed 12/10/19</w:t>
      </w:r>
    </w:p>
    <w:p w14:paraId="3FB491B4" w14:textId="5F7CB668" w:rsidR="0058379F" w:rsidRPr="004C45AE" w:rsidRDefault="0058379F" w:rsidP="0058379F">
      <w:pPr>
        <w:rPr>
          <w:rFonts w:asciiTheme="majorHAnsi" w:hAnsiTheme="majorHAnsi"/>
          <w:b/>
          <w:bCs/>
          <w:i/>
          <w:iCs/>
          <w:sz w:val="22"/>
          <w:szCs w:val="22"/>
        </w:rPr>
      </w:pPr>
      <w:r w:rsidRPr="004C45AE">
        <w:rPr>
          <w:rFonts w:asciiTheme="majorHAnsi" w:hAnsiTheme="majorHAnsi"/>
          <w:b/>
          <w:bCs/>
          <w:i/>
          <w:iCs/>
          <w:sz w:val="22"/>
          <w:szCs w:val="22"/>
        </w:rPr>
        <w:t>Domestic Violence</w:t>
      </w:r>
    </w:p>
    <w:p w14:paraId="4E6EA5D2" w14:textId="191069AB" w:rsidR="004C45AE" w:rsidRDefault="004C45AE" w:rsidP="0058379F">
      <w:pPr>
        <w:rPr>
          <w:rFonts w:asciiTheme="majorHAnsi" w:hAnsiTheme="majorHAnsi"/>
          <w:b/>
          <w:bCs/>
          <w:sz w:val="22"/>
          <w:szCs w:val="22"/>
        </w:rPr>
      </w:pPr>
      <w:r>
        <w:rPr>
          <w:rFonts w:asciiTheme="majorHAnsi" w:hAnsiTheme="majorHAnsi"/>
          <w:b/>
          <w:bCs/>
          <w:sz w:val="22"/>
          <w:szCs w:val="22"/>
        </w:rPr>
        <w:t>Author: Domestic Violence Appellate Project</w:t>
      </w:r>
    </w:p>
    <w:p w14:paraId="25B28FC0" w14:textId="4E418F4B" w:rsidR="009F687F" w:rsidRDefault="009F687F" w:rsidP="0058379F">
      <w:pPr>
        <w:rPr>
          <w:rFonts w:asciiTheme="majorHAnsi" w:hAnsiTheme="majorHAnsi"/>
          <w:b/>
          <w:bCs/>
          <w:sz w:val="22"/>
          <w:szCs w:val="22"/>
        </w:rPr>
      </w:pPr>
    </w:p>
    <w:p w14:paraId="44230238" w14:textId="18DD2129" w:rsidR="009F687F" w:rsidRPr="009F687F" w:rsidRDefault="009F687F" w:rsidP="0058379F">
      <w:pPr>
        <w:rPr>
          <w:rFonts w:asciiTheme="majorHAnsi" w:hAnsiTheme="majorHAnsi"/>
          <w:sz w:val="22"/>
          <w:szCs w:val="22"/>
        </w:rPr>
      </w:pPr>
      <w:r w:rsidRPr="009F687F">
        <w:rPr>
          <w:rFonts w:asciiTheme="majorHAnsi" w:hAnsiTheme="majorHAnsi"/>
          <w:sz w:val="22"/>
          <w:szCs w:val="22"/>
        </w:rPr>
        <w:t xml:space="preserve">The amicus letter encourages the California Supreme Court to grant the Petition for Review, arguing that the case raises issues of statewide importance affecting limited-English-proficient survivors of domestic violence who become involved in </w:t>
      </w:r>
      <w:r>
        <w:rPr>
          <w:rFonts w:asciiTheme="majorHAnsi" w:hAnsiTheme="majorHAnsi"/>
          <w:sz w:val="22"/>
          <w:szCs w:val="22"/>
        </w:rPr>
        <w:t xml:space="preserve">juvenile dependency proceedings. Such survivors are often subject to failure-to-protect </w:t>
      </w:r>
      <w:r w:rsidR="0024384D">
        <w:rPr>
          <w:rFonts w:asciiTheme="majorHAnsi" w:hAnsiTheme="majorHAnsi"/>
          <w:sz w:val="22"/>
          <w:szCs w:val="22"/>
        </w:rPr>
        <w:t xml:space="preserve">findings as a result of their limited English proficiency, or on the basis that they directly suffered abuse at the hands of the other parent. </w:t>
      </w:r>
      <w:r w:rsidR="00DD1D52">
        <w:rPr>
          <w:rFonts w:asciiTheme="majorHAnsi" w:hAnsiTheme="majorHAnsi"/>
          <w:sz w:val="22"/>
          <w:szCs w:val="22"/>
        </w:rPr>
        <w:t xml:space="preserve">The letter argues that the Court should grant review to ensure that survivors are not deprived of the rights to challenge such findings, which can have lasting impacts on affected parents and their children. </w:t>
      </w:r>
    </w:p>
    <w:p w14:paraId="2C2556AF" w14:textId="2F7B3923" w:rsidR="005E7E40" w:rsidRDefault="005E7E40" w:rsidP="00DD4BDB">
      <w:pPr>
        <w:ind w:left="360"/>
        <w:rPr>
          <w:rFonts w:asciiTheme="majorHAnsi" w:hAnsiTheme="majorHAnsi"/>
          <w:sz w:val="22"/>
          <w:szCs w:val="22"/>
        </w:rPr>
      </w:pPr>
    </w:p>
    <w:p w14:paraId="254BCB15" w14:textId="0A5DE397" w:rsidR="005E7E40" w:rsidRDefault="00133A12" w:rsidP="00133A12">
      <w:pPr>
        <w:rPr>
          <w:rFonts w:asciiTheme="majorHAnsi" w:hAnsiTheme="majorHAnsi"/>
          <w:sz w:val="22"/>
          <w:szCs w:val="22"/>
        </w:rPr>
      </w:pPr>
      <w:r>
        <w:rPr>
          <w:rFonts w:asciiTheme="majorHAnsi" w:hAnsiTheme="majorHAnsi"/>
          <w:sz w:val="22"/>
          <w:szCs w:val="22"/>
        </w:rPr>
        <w:t xml:space="preserve">The petition is currently pending. </w:t>
      </w:r>
    </w:p>
    <w:p w14:paraId="00F920FA" w14:textId="77777777" w:rsidR="005E7E40" w:rsidRPr="00DD4BDB" w:rsidRDefault="005E7E40" w:rsidP="00DD4BDB">
      <w:pPr>
        <w:ind w:left="360"/>
        <w:rPr>
          <w:rFonts w:asciiTheme="majorHAnsi" w:hAnsiTheme="majorHAnsi"/>
          <w:sz w:val="22"/>
          <w:szCs w:val="22"/>
        </w:rPr>
      </w:pPr>
    </w:p>
    <w:sectPr w:rsidR="005E7E40" w:rsidRPr="00DD4BDB" w:rsidSect="001019A1">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3D246" w14:textId="77777777" w:rsidR="00BB1520" w:rsidRDefault="00BB1520" w:rsidP="00695F5A">
      <w:r>
        <w:separator/>
      </w:r>
    </w:p>
  </w:endnote>
  <w:endnote w:type="continuationSeparator" w:id="0">
    <w:p w14:paraId="6760CE33" w14:textId="77777777" w:rsidR="00BB1520" w:rsidRDefault="00BB1520" w:rsidP="0069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104047"/>
      <w:docPartObj>
        <w:docPartGallery w:val="Page Numbers (Bottom of Page)"/>
        <w:docPartUnique/>
      </w:docPartObj>
    </w:sdtPr>
    <w:sdtContent>
      <w:p w14:paraId="42350239" w14:textId="3853CF80" w:rsidR="00695F5A" w:rsidRDefault="00695F5A" w:rsidP="000922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960470" w14:textId="77777777" w:rsidR="00695F5A" w:rsidRDefault="00695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2831815"/>
      <w:docPartObj>
        <w:docPartGallery w:val="Page Numbers (Bottom of Page)"/>
        <w:docPartUnique/>
      </w:docPartObj>
    </w:sdtPr>
    <w:sdtContent>
      <w:p w14:paraId="1A99199E" w14:textId="0AC5AA5F" w:rsidR="00695F5A" w:rsidRDefault="00695F5A" w:rsidP="000922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7B9893" w14:textId="77777777" w:rsidR="00695F5A" w:rsidRDefault="00695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C92D6" w14:textId="77777777" w:rsidR="00BB1520" w:rsidRDefault="00BB1520" w:rsidP="00695F5A">
      <w:r>
        <w:separator/>
      </w:r>
    </w:p>
  </w:footnote>
  <w:footnote w:type="continuationSeparator" w:id="0">
    <w:p w14:paraId="658B0DDB" w14:textId="77777777" w:rsidR="00BB1520" w:rsidRDefault="00BB1520" w:rsidP="0069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7F9"/>
    <w:multiLevelType w:val="hybridMultilevel"/>
    <w:tmpl w:val="4812674A"/>
    <w:lvl w:ilvl="0" w:tplc="0866A5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96D3A"/>
    <w:multiLevelType w:val="hybridMultilevel"/>
    <w:tmpl w:val="3D183338"/>
    <w:lvl w:ilvl="0" w:tplc="0866A5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9315C"/>
    <w:multiLevelType w:val="hybridMultilevel"/>
    <w:tmpl w:val="31DAF682"/>
    <w:lvl w:ilvl="0" w:tplc="59487418">
      <w:start w:val="1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72149"/>
    <w:multiLevelType w:val="hybridMultilevel"/>
    <w:tmpl w:val="C4DCC490"/>
    <w:lvl w:ilvl="0" w:tplc="FE4E93F0">
      <w:start w:val="1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B1D37"/>
    <w:multiLevelType w:val="multilevel"/>
    <w:tmpl w:val="F10AB54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E777D8C"/>
    <w:multiLevelType w:val="hybridMultilevel"/>
    <w:tmpl w:val="6262C188"/>
    <w:lvl w:ilvl="0" w:tplc="0866A5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60BAE"/>
    <w:multiLevelType w:val="hybridMultilevel"/>
    <w:tmpl w:val="CE1A3100"/>
    <w:lvl w:ilvl="0" w:tplc="0866A5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5204D"/>
    <w:multiLevelType w:val="hybridMultilevel"/>
    <w:tmpl w:val="CAB410DA"/>
    <w:lvl w:ilvl="0" w:tplc="AF6EA176">
      <w:start w:val="1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222B5"/>
    <w:multiLevelType w:val="hybridMultilevel"/>
    <w:tmpl w:val="4C1062DE"/>
    <w:lvl w:ilvl="0" w:tplc="0866A5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0434C2"/>
    <w:multiLevelType w:val="hybridMultilevel"/>
    <w:tmpl w:val="B0F09A7C"/>
    <w:lvl w:ilvl="0" w:tplc="0866A5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854EA"/>
    <w:multiLevelType w:val="hybridMultilevel"/>
    <w:tmpl w:val="B5866F2C"/>
    <w:lvl w:ilvl="0" w:tplc="EF262AD6">
      <w:start w:val="1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BF583C"/>
    <w:multiLevelType w:val="hybridMultilevel"/>
    <w:tmpl w:val="52285530"/>
    <w:lvl w:ilvl="0" w:tplc="0866A5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A11BD"/>
    <w:multiLevelType w:val="multilevel"/>
    <w:tmpl w:val="85EC1A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2AE401B"/>
    <w:multiLevelType w:val="hybridMultilevel"/>
    <w:tmpl w:val="400092F4"/>
    <w:lvl w:ilvl="0" w:tplc="0866A5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955434"/>
    <w:multiLevelType w:val="multilevel"/>
    <w:tmpl w:val="48C058E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2"/>
  </w:num>
  <w:num w:numId="3">
    <w:abstractNumId w:val="7"/>
  </w:num>
  <w:num w:numId="4">
    <w:abstractNumId w:val="10"/>
  </w:num>
  <w:num w:numId="5">
    <w:abstractNumId w:val="3"/>
  </w:num>
  <w:num w:numId="6">
    <w:abstractNumId w:val="12"/>
  </w:num>
  <w:num w:numId="7">
    <w:abstractNumId w:val="4"/>
  </w:num>
  <w:num w:numId="8">
    <w:abstractNumId w:val="14"/>
  </w:num>
  <w:num w:numId="9">
    <w:abstractNumId w:val="9"/>
  </w:num>
  <w:num w:numId="10">
    <w:abstractNumId w:val="0"/>
  </w:num>
  <w:num w:numId="11">
    <w:abstractNumId w:val="8"/>
  </w:num>
  <w:num w:numId="12">
    <w:abstractNumId w:val="13"/>
  </w:num>
  <w:num w:numId="13">
    <w:abstractNumId w:val="5"/>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43"/>
    <w:rsid w:val="000448C5"/>
    <w:rsid w:val="000755A6"/>
    <w:rsid w:val="0009061B"/>
    <w:rsid w:val="00095B52"/>
    <w:rsid w:val="000A0EAA"/>
    <w:rsid w:val="000A7ABE"/>
    <w:rsid w:val="000D543C"/>
    <w:rsid w:val="000D66D5"/>
    <w:rsid w:val="000E121C"/>
    <w:rsid w:val="000F72BC"/>
    <w:rsid w:val="00100045"/>
    <w:rsid w:val="001019A1"/>
    <w:rsid w:val="00102F27"/>
    <w:rsid w:val="0010770B"/>
    <w:rsid w:val="00107D48"/>
    <w:rsid w:val="00123A4B"/>
    <w:rsid w:val="00133A12"/>
    <w:rsid w:val="00156278"/>
    <w:rsid w:val="00173B69"/>
    <w:rsid w:val="001950A5"/>
    <w:rsid w:val="001A623C"/>
    <w:rsid w:val="001C43D2"/>
    <w:rsid w:val="001E60BF"/>
    <w:rsid w:val="001F4B3C"/>
    <w:rsid w:val="001F6BC7"/>
    <w:rsid w:val="00223F90"/>
    <w:rsid w:val="0024384D"/>
    <w:rsid w:val="00257887"/>
    <w:rsid w:val="00260B06"/>
    <w:rsid w:val="00267ED9"/>
    <w:rsid w:val="00270FEE"/>
    <w:rsid w:val="00274243"/>
    <w:rsid w:val="00287BA6"/>
    <w:rsid w:val="00296B99"/>
    <w:rsid w:val="002B3367"/>
    <w:rsid w:val="002B700C"/>
    <w:rsid w:val="002E273B"/>
    <w:rsid w:val="002E408A"/>
    <w:rsid w:val="002E4490"/>
    <w:rsid w:val="002E7248"/>
    <w:rsid w:val="00301C6E"/>
    <w:rsid w:val="00305247"/>
    <w:rsid w:val="0032268B"/>
    <w:rsid w:val="003256B0"/>
    <w:rsid w:val="00335FBB"/>
    <w:rsid w:val="00337EE1"/>
    <w:rsid w:val="00343E94"/>
    <w:rsid w:val="00361A01"/>
    <w:rsid w:val="0036499C"/>
    <w:rsid w:val="0036616D"/>
    <w:rsid w:val="0037344D"/>
    <w:rsid w:val="003907C6"/>
    <w:rsid w:val="0039145E"/>
    <w:rsid w:val="003C3DCA"/>
    <w:rsid w:val="003D2197"/>
    <w:rsid w:val="003D317E"/>
    <w:rsid w:val="003D5089"/>
    <w:rsid w:val="003E1E87"/>
    <w:rsid w:val="003E264D"/>
    <w:rsid w:val="003F3C0E"/>
    <w:rsid w:val="00417B03"/>
    <w:rsid w:val="0042173E"/>
    <w:rsid w:val="00441A2B"/>
    <w:rsid w:val="00450FBE"/>
    <w:rsid w:val="00475E9C"/>
    <w:rsid w:val="004C45AE"/>
    <w:rsid w:val="004D1BA6"/>
    <w:rsid w:val="004F1566"/>
    <w:rsid w:val="004F657D"/>
    <w:rsid w:val="00506A0B"/>
    <w:rsid w:val="0050775A"/>
    <w:rsid w:val="005125F2"/>
    <w:rsid w:val="005134AB"/>
    <w:rsid w:val="00531380"/>
    <w:rsid w:val="0055248A"/>
    <w:rsid w:val="00554CD4"/>
    <w:rsid w:val="00562EDB"/>
    <w:rsid w:val="00562EFA"/>
    <w:rsid w:val="00570C45"/>
    <w:rsid w:val="00573DDD"/>
    <w:rsid w:val="005827B8"/>
    <w:rsid w:val="0058379F"/>
    <w:rsid w:val="005C6596"/>
    <w:rsid w:val="005D36F6"/>
    <w:rsid w:val="005E27C9"/>
    <w:rsid w:val="005E4AC4"/>
    <w:rsid w:val="005E5961"/>
    <w:rsid w:val="005E7E40"/>
    <w:rsid w:val="00620FD4"/>
    <w:rsid w:val="00684702"/>
    <w:rsid w:val="00685C08"/>
    <w:rsid w:val="00686903"/>
    <w:rsid w:val="00695F5A"/>
    <w:rsid w:val="006A0FA1"/>
    <w:rsid w:val="006A241B"/>
    <w:rsid w:val="006B0DB0"/>
    <w:rsid w:val="006C3028"/>
    <w:rsid w:val="006F361C"/>
    <w:rsid w:val="006F6C72"/>
    <w:rsid w:val="00710EC2"/>
    <w:rsid w:val="007218F5"/>
    <w:rsid w:val="00743071"/>
    <w:rsid w:val="0074687A"/>
    <w:rsid w:val="007A1A19"/>
    <w:rsid w:val="007B2128"/>
    <w:rsid w:val="00804C8B"/>
    <w:rsid w:val="00825D69"/>
    <w:rsid w:val="008267D5"/>
    <w:rsid w:val="00833AA0"/>
    <w:rsid w:val="008357BD"/>
    <w:rsid w:val="00844973"/>
    <w:rsid w:val="008739D1"/>
    <w:rsid w:val="00893FDE"/>
    <w:rsid w:val="00894F83"/>
    <w:rsid w:val="00896DDA"/>
    <w:rsid w:val="008B0C75"/>
    <w:rsid w:val="008B112C"/>
    <w:rsid w:val="008B1D2D"/>
    <w:rsid w:val="008D0D1B"/>
    <w:rsid w:val="008F237D"/>
    <w:rsid w:val="009039FD"/>
    <w:rsid w:val="00910044"/>
    <w:rsid w:val="00934E2E"/>
    <w:rsid w:val="00936A06"/>
    <w:rsid w:val="00945DEF"/>
    <w:rsid w:val="00983E2B"/>
    <w:rsid w:val="009B5C41"/>
    <w:rsid w:val="009D5B30"/>
    <w:rsid w:val="009E45E4"/>
    <w:rsid w:val="009F09A4"/>
    <w:rsid w:val="009F687F"/>
    <w:rsid w:val="00A05CC9"/>
    <w:rsid w:val="00A1419B"/>
    <w:rsid w:val="00A21699"/>
    <w:rsid w:val="00A22159"/>
    <w:rsid w:val="00A32B33"/>
    <w:rsid w:val="00A44B2E"/>
    <w:rsid w:val="00A45FDB"/>
    <w:rsid w:val="00A72F8D"/>
    <w:rsid w:val="00A82272"/>
    <w:rsid w:val="00AA6233"/>
    <w:rsid w:val="00B03E6B"/>
    <w:rsid w:val="00B17C8C"/>
    <w:rsid w:val="00B32019"/>
    <w:rsid w:val="00B55DD5"/>
    <w:rsid w:val="00B60FBB"/>
    <w:rsid w:val="00B94557"/>
    <w:rsid w:val="00B959A1"/>
    <w:rsid w:val="00BA00D3"/>
    <w:rsid w:val="00BA2606"/>
    <w:rsid w:val="00BA79B9"/>
    <w:rsid w:val="00BB1520"/>
    <w:rsid w:val="00BB4457"/>
    <w:rsid w:val="00BC50D2"/>
    <w:rsid w:val="00BE0257"/>
    <w:rsid w:val="00BF7D59"/>
    <w:rsid w:val="00C059C3"/>
    <w:rsid w:val="00C0770E"/>
    <w:rsid w:val="00C16411"/>
    <w:rsid w:val="00C46090"/>
    <w:rsid w:val="00C55ECB"/>
    <w:rsid w:val="00C72B93"/>
    <w:rsid w:val="00C84545"/>
    <w:rsid w:val="00CC27F8"/>
    <w:rsid w:val="00CC3151"/>
    <w:rsid w:val="00CC5C8E"/>
    <w:rsid w:val="00CF1057"/>
    <w:rsid w:val="00CF277F"/>
    <w:rsid w:val="00D0414A"/>
    <w:rsid w:val="00D145BF"/>
    <w:rsid w:val="00D15AF6"/>
    <w:rsid w:val="00D17E94"/>
    <w:rsid w:val="00D21146"/>
    <w:rsid w:val="00D27003"/>
    <w:rsid w:val="00D4097D"/>
    <w:rsid w:val="00D705B2"/>
    <w:rsid w:val="00D80F00"/>
    <w:rsid w:val="00D83F52"/>
    <w:rsid w:val="00D96F33"/>
    <w:rsid w:val="00DB2555"/>
    <w:rsid w:val="00DD1D52"/>
    <w:rsid w:val="00DD4BDB"/>
    <w:rsid w:val="00DD7DCA"/>
    <w:rsid w:val="00DF52F4"/>
    <w:rsid w:val="00E035D9"/>
    <w:rsid w:val="00E14B77"/>
    <w:rsid w:val="00E63F42"/>
    <w:rsid w:val="00E66109"/>
    <w:rsid w:val="00E736B2"/>
    <w:rsid w:val="00E764E9"/>
    <w:rsid w:val="00E93586"/>
    <w:rsid w:val="00E95923"/>
    <w:rsid w:val="00ED0D28"/>
    <w:rsid w:val="00EF716D"/>
    <w:rsid w:val="00F016D5"/>
    <w:rsid w:val="00F14DD5"/>
    <w:rsid w:val="00F84DA2"/>
    <w:rsid w:val="00FB2F51"/>
    <w:rsid w:val="00FD5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09465"/>
  <w14:defaultImageDpi w14:val="300"/>
  <w15:docId w15:val="{B987A2E3-EDBD-E743-8D44-2F47C117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12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243"/>
    <w:pPr>
      <w:ind w:left="720"/>
      <w:contextualSpacing/>
    </w:pPr>
  </w:style>
  <w:style w:type="character" w:styleId="CommentReference">
    <w:name w:val="annotation reference"/>
    <w:basedOn w:val="DefaultParagraphFont"/>
    <w:uiPriority w:val="99"/>
    <w:semiHidden/>
    <w:unhideWhenUsed/>
    <w:rsid w:val="009039FD"/>
    <w:rPr>
      <w:sz w:val="18"/>
      <w:szCs w:val="18"/>
    </w:rPr>
  </w:style>
  <w:style w:type="paragraph" w:styleId="CommentText">
    <w:name w:val="annotation text"/>
    <w:basedOn w:val="Normal"/>
    <w:link w:val="CommentTextChar"/>
    <w:uiPriority w:val="99"/>
    <w:semiHidden/>
    <w:unhideWhenUsed/>
    <w:rsid w:val="009039FD"/>
  </w:style>
  <w:style w:type="character" w:customStyle="1" w:styleId="CommentTextChar">
    <w:name w:val="Comment Text Char"/>
    <w:basedOn w:val="DefaultParagraphFont"/>
    <w:link w:val="CommentText"/>
    <w:uiPriority w:val="99"/>
    <w:semiHidden/>
    <w:rsid w:val="009039FD"/>
    <w:rPr>
      <w:rFonts w:eastAsiaTheme="minorHAnsi"/>
    </w:rPr>
  </w:style>
  <w:style w:type="paragraph" w:styleId="CommentSubject">
    <w:name w:val="annotation subject"/>
    <w:basedOn w:val="CommentText"/>
    <w:next w:val="CommentText"/>
    <w:link w:val="CommentSubjectChar"/>
    <w:uiPriority w:val="99"/>
    <w:semiHidden/>
    <w:unhideWhenUsed/>
    <w:rsid w:val="009039FD"/>
    <w:rPr>
      <w:b/>
      <w:bCs/>
      <w:sz w:val="20"/>
      <w:szCs w:val="20"/>
    </w:rPr>
  </w:style>
  <w:style w:type="character" w:customStyle="1" w:styleId="CommentSubjectChar">
    <w:name w:val="Comment Subject Char"/>
    <w:basedOn w:val="CommentTextChar"/>
    <w:link w:val="CommentSubject"/>
    <w:uiPriority w:val="99"/>
    <w:semiHidden/>
    <w:rsid w:val="009039FD"/>
    <w:rPr>
      <w:rFonts w:eastAsiaTheme="minorHAnsi"/>
      <w:b/>
      <w:bCs/>
      <w:sz w:val="20"/>
      <w:szCs w:val="20"/>
    </w:rPr>
  </w:style>
  <w:style w:type="paragraph" w:styleId="BalloonText">
    <w:name w:val="Balloon Text"/>
    <w:basedOn w:val="Normal"/>
    <w:link w:val="BalloonTextChar"/>
    <w:uiPriority w:val="99"/>
    <w:semiHidden/>
    <w:unhideWhenUsed/>
    <w:rsid w:val="00903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9FD"/>
    <w:rPr>
      <w:rFonts w:ascii="Lucida Grande" w:eastAsiaTheme="minorHAnsi" w:hAnsi="Lucida Grande" w:cs="Lucida Grande"/>
      <w:sz w:val="18"/>
      <w:szCs w:val="18"/>
    </w:rPr>
  </w:style>
  <w:style w:type="paragraph" w:styleId="NormalWeb">
    <w:name w:val="Normal (Web)"/>
    <w:basedOn w:val="Normal"/>
    <w:uiPriority w:val="99"/>
    <w:unhideWhenUsed/>
    <w:rsid w:val="00CC3151"/>
    <w:pPr>
      <w:spacing w:before="100" w:beforeAutospacing="1" w:after="100" w:afterAutospacing="1"/>
    </w:pPr>
  </w:style>
  <w:style w:type="paragraph" w:styleId="Footer">
    <w:name w:val="footer"/>
    <w:basedOn w:val="Normal"/>
    <w:link w:val="FooterChar"/>
    <w:uiPriority w:val="99"/>
    <w:unhideWhenUsed/>
    <w:rsid w:val="00695F5A"/>
    <w:pPr>
      <w:tabs>
        <w:tab w:val="center" w:pos="4680"/>
        <w:tab w:val="right" w:pos="9360"/>
      </w:tabs>
    </w:pPr>
  </w:style>
  <w:style w:type="character" w:customStyle="1" w:styleId="FooterChar">
    <w:name w:val="Footer Char"/>
    <w:basedOn w:val="DefaultParagraphFont"/>
    <w:link w:val="Footer"/>
    <w:uiPriority w:val="99"/>
    <w:rsid w:val="00695F5A"/>
    <w:rPr>
      <w:rFonts w:ascii="Times New Roman" w:eastAsia="Times New Roman" w:hAnsi="Times New Roman" w:cs="Times New Roman"/>
    </w:rPr>
  </w:style>
  <w:style w:type="character" w:styleId="PageNumber">
    <w:name w:val="page number"/>
    <w:basedOn w:val="DefaultParagraphFont"/>
    <w:uiPriority w:val="99"/>
    <w:semiHidden/>
    <w:unhideWhenUsed/>
    <w:rsid w:val="00695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0"/>
          <w:divBdr>
            <w:top w:val="none" w:sz="0" w:space="0" w:color="auto"/>
            <w:left w:val="none" w:sz="0" w:space="0" w:color="auto"/>
            <w:bottom w:val="none" w:sz="0" w:space="0" w:color="auto"/>
            <w:right w:val="none" w:sz="0" w:space="0" w:color="auto"/>
          </w:divBdr>
          <w:divsChild>
            <w:div w:id="1983122321">
              <w:marLeft w:val="0"/>
              <w:marRight w:val="0"/>
              <w:marTop w:val="0"/>
              <w:marBottom w:val="0"/>
              <w:divBdr>
                <w:top w:val="none" w:sz="0" w:space="0" w:color="auto"/>
                <w:left w:val="none" w:sz="0" w:space="0" w:color="auto"/>
                <w:bottom w:val="none" w:sz="0" w:space="0" w:color="auto"/>
                <w:right w:val="none" w:sz="0" w:space="0" w:color="auto"/>
              </w:divBdr>
              <w:divsChild>
                <w:div w:id="20839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4911">
      <w:bodyDiv w:val="1"/>
      <w:marLeft w:val="0"/>
      <w:marRight w:val="0"/>
      <w:marTop w:val="0"/>
      <w:marBottom w:val="0"/>
      <w:divBdr>
        <w:top w:val="none" w:sz="0" w:space="0" w:color="auto"/>
        <w:left w:val="none" w:sz="0" w:space="0" w:color="auto"/>
        <w:bottom w:val="none" w:sz="0" w:space="0" w:color="auto"/>
        <w:right w:val="none" w:sz="0" w:space="0" w:color="auto"/>
      </w:divBdr>
      <w:divsChild>
        <w:div w:id="1597713998">
          <w:marLeft w:val="0"/>
          <w:marRight w:val="0"/>
          <w:marTop w:val="0"/>
          <w:marBottom w:val="0"/>
          <w:divBdr>
            <w:top w:val="none" w:sz="0" w:space="0" w:color="auto"/>
            <w:left w:val="none" w:sz="0" w:space="0" w:color="auto"/>
            <w:bottom w:val="none" w:sz="0" w:space="0" w:color="auto"/>
            <w:right w:val="none" w:sz="0" w:space="0" w:color="auto"/>
          </w:divBdr>
          <w:divsChild>
            <w:div w:id="1930578645">
              <w:marLeft w:val="0"/>
              <w:marRight w:val="0"/>
              <w:marTop w:val="0"/>
              <w:marBottom w:val="0"/>
              <w:divBdr>
                <w:top w:val="none" w:sz="0" w:space="0" w:color="auto"/>
                <w:left w:val="none" w:sz="0" w:space="0" w:color="auto"/>
                <w:bottom w:val="none" w:sz="0" w:space="0" w:color="auto"/>
                <w:right w:val="none" w:sz="0" w:space="0" w:color="auto"/>
              </w:divBdr>
              <w:divsChild>
                <w:div w:id="20344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5226">
      <w:bodyDiv w:val="1"/>
      <w:marLeft w:val="0"/>
      <w:marRight w:val="0"/>
      <w:marTop w:val="0"/>
      <w:marBottom w:val="0"/>
      <w:divBdr>
        <w:top w:val="none" w:sz="0" w:space="0" w:color="auto"/>
        <w:left w:val="none" w:sz="0" w:space="0" w:color="auto"/>
        <w:bottom w:val="none" w:sz="0" w:space="0" w:color="auto"/>
        <w:right w:val="none" w:sz="0" w:space="0" w:color="auto"/>
      </w:divBdr>
      <w:divsChild>
        <w:div w:id="1641572963">
          <w:marLeft w:val="0"/>
          <w:marRight w:val="0"/>
          <w:marTop w:val="0"/>
          <w:marBottom w:val="0"/>
          <w:divBdr>
            <w:top w:val="none" w:sz="0" w:space="0" w:color="auto"/>
            <w:left w:val="none" w:sz="0" w:space="0" w:color="auto"/>
            <w:bottom w:val="none" w:sz="0" w:space="0" w:color="auto"/>
            <w:right w:val="none" w:sz="0" w:space="0" w:color="auto"/>
          </w:divBdr>
          <w:divsChild>
            <w:div w:id="441262385">
              <w:marLeft w:val="0"/>
              <w:marRight w:val="0"/>
              <w:marTop w:val="0"/>
              <w:marBottom w:val="0"/>
              <w:divBdr>
                <w:top w:val="none" w:sz="0" w:space="0" w:color="auto"/>
                <w:left w:val="none" w:sz="0" w:space="0" w:color="auto"/>
                <w:bottom w:val="none" w:sz="0" w:space="0" w:color="auto"/>
                <w:right w:val="none" w:sz="0" w:space="0" w:color="auto"/>
              </w:divBdr>
              <w:divsChild>
                <w:div w:id="11263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92298">
      <w:bodyDiv w:val="1"/>
      <w:marLeft w:val="0"/>
      <w:marRight w:val="0"/>
      <w:marTop w:val="0"/>
      <w:marBottom w:val="0"/>
      <w:divBdr>
        <w:top w:val="none" w:sz="0" w:space="0" w:color="auto"/>
        <w:left w:val="none" w:sz="0" w:space="0" w:color="auto"/>
        <w:bottom w:val="none" w:sz="0" w:space="0" w:color="auto"/>
        <w:right w:val="none" w:sz="0" w:space="0" w:color="auto"/>
      </w:divBdr>
    </w:div>
    <w:div w:id="541676072">
      <w:bodyDiv w:val="1"/>
      <w:marLeft w:val="0"/>
      <w:marRight w:val="0"/>
      <w:marTop w:val="0"/>
      <w:marBottom w:val="0"/>
      <w:divBdr>
        <w:top w:val="none" w:sz="0" w:space="0" w:color="auto"/>
        <w:left w:val="none" w:sz="0" w:space="0" w:color="auto"/>
        <w:bottom w:val="none" w:sz="0" w:space="0" w:color="auto"/>
        <w:right w:val="none" w:sz="0" w:space="0" w:color="auto"/>
      </w:divBdr>
    </w:div>
    <w:div w:id="543373492">
      <w:bodyDiv w:val="1"/>
      <w:marLeft w:val="0"/>
      <w:marRight w:val="0"/>
      <w:marTop w:val="0"/>
      <w:marBottom w:val="0"/>
      <w:divBdr>
        <w:top w:val="none" w:sz="0" w:space="0" w:color="auto"/>
        <w:left w:val="none" w:sz="0" w:space="0" w:color="auto"/>
        <w:bottom w:val="none" w:sz="0" w:space="0" w:color="auto"/>
        <w:right w:val="none" w:sz="0" w:space="0" w:color="auto"/>
      </w:divBdr>
      <w:divsChild>
        <w:div w:id="43719135">
          <w:marLeft w:val="0"/>
          <w:marRight w:val="0"/>
          <w:marTop w:val="0"/>
          <w:marBottom w:val="0"/>
          <w:divBdr>
            <w:top w:val="none" w:sz="0" w:space="0" w:color="auto"/>
            <w:left w:val="none" w:sz="0" w:space="0" w:color="auto"/>
            <w:bottom w:val="none" w:sz="0" w:space="0" w:color="auto"/>
            <w:right w:val="none" w:sz="0" w:space="0" w:color="auto"/>
          </w:divBdr>
        </w:div>
        <w:div w:id="241722549">
          <w:marLeft w:val="0"/>
          <w:marRight w:val="0"/>
          <w:marTop w:val="0"/>
          <w:marBottom w:val="0"/>
          <w:divBdr>
            <w:top w:val="none" w:sz="0" w:space="0" w:color="auto"/>
            <w:left w:val="none" w:sz="0" w:space="0" w:color="auto"/>
            <w:bottom w:val="none" w:sz="0" w:space="0" w:color="auto"/>
            <w:right w:val="none" w:sz="0" w:space="0" w:color="auto"/>
          </w:divBdr>
        </w:div>
      </w:divsChild>
    </w:div>
    <w:div w:id="578949865">
      <w:bodyDiv w:val="1"/>
      <w:marLeft w:val="0"/>
      <w:marRight w:val="0"/>
      <w:marTop w:val="0"/>
      <w:marBottom w:val="0"/>
      <w:divBdr>
        <w:top w:val="none" w:sz="0" w:space="0" w:color="auto"/>
        <w:left w:val="none" w:sz="0" w:space="0" w:color="auto"/>
        <w:bottom w:val="none" w:sz="0" w:space="0" w:color="auto"/>
        <w:right w:val="none" w:sz="0" w:space="0" w:color="auto"/>
      </w:divBdr>
      <w:divsChild>
        <w:div w:id="724328790">
          <w:marLeft w:val="0"/>
          <w:marRight w:val="0"/>
          <w:marTop w:val="0"/>
          <w:marBottom w:val="0"/>
          <w:divBdr>
            <w:top w:val="none" w:sz="0" w:space="0" w:color="auto"/>
            <w:left w:val="none" w:sz="0" w:space="0" w:color="auto"/>
            <w:bottom w:val="none" w:sz="0" w:space="0" w:color="auto"/>
            <w:right w:val="none" w:sz="0" w:space="0" w:color="auto"/>
          </w:divBdr>
          <w:divsChild>
            <w:div w:id="1853953015">
              <w:marLeft w:val="0"/>
              <w:marRight w:val="0"/>
              <w:marTop w:val="0"/>
              <w:marBottom w:val="0"/>
              <w:divBdr>
                <w:top w:val="none" w:sz="0" w:space="0" w:color="auto"/>
                <w:left w:val="none" w:sz="0" w:space="0" w:color="auto"/>
                <w:bottom w:val="none" w:sz="0" w:space="0" w:color="auto"/>
                <w:right w:val="none" w:sz="0" w:space="0" w:color="auto"/>
              </w:divBdr>
              <w:divsChild>
                <w:div w:id="1831216630">
                  <w:marLeft w:val="0"/>
                  <w:marRight w:val="0"/>
                  <w:marTop w:val="0"/>
                  <w:marBottom w:val="0"/>
                  <w:divBdr>
                    <w:top w:val="none" w:sz="0" w:space="0" w:color="auto"/>
                    <w:left w:val="none" w:sz="0" w:space="0" w:color="auto"/>
                    <w:bottom w:val="none" w:sz="0" w:space="0" w:color="auto"/>
                    <w:right w:val="none" w:sz="0" w:space="0" w:color="auto"/>
                  </w:divBdr>
                </w:div>
              </w:divsChild>
            </w:div>
            <w:div w:id="1727531233">
              <w:marLeft w:val="0"/>
              <w:marRight w:val="0"/>
              <w:marTop w:val="0"/>
              <w:marBottom w:val="0"/>
              <w:divBdr>
                <w:top w:val="none" w:sz="0" w:space="0" w:color="auto"/>
                <w:left w:val="none" w:sz="0" w:space="0" w:color="auto"/>
                <w:bottom w:val="none" w:sz="0" w:space="0" w:color="auto"/>
                <w:right w:val="none" w:sz="0" w:space="0" w:color="auto"/>
              </w:divBdr>
              <w:divsChild>
                <w:div w:id="17907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582">
          <w:marLeft w:val="0"/>
          <w:marRight w:val="0"/>
          <w:marTop w:val="0"/>
          <w:marBottom w:val="0"/>
          <w:divBdr>
            <w:top w:val="none" w:sz="0" w:space="0" w:color="auto"/>
            <w:left w:val="none" w:sz="0" w:space="0" w:color="auto"/>
            <w:bottom w:val="none" w:sz="0" w:space="0" w:color="auto"/>
            <w:right w:val="none" w:sz="0" w:space="0" w:color="auto"/>
          </w:divBdr>
          <w:divsChild>
            <w:div w:id="356740042">
              <w:marLeft w:val="0"/>
              <w:marRight w:val="0"/>
              <w:marTop w:val="0"/>
              <w:marBottom w:val="0"/>
              <w:divBdr>
                <w:top w:val="none" w:sz="0" w:space="0" w:color="auto"/>
                <w:left w:val="none" w:sz="0" w:space="0" w:color="auto"/>
                <w:bottom w:val="none" w:sz="0" w:space="0" w:color="auto"/>
                <w:right w:val="none" w:sz="0" w:space="0" w:color="auto"/>
              </w:divBdr>
              <w:divsChild>
                <w:div w:id="12867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6087">
      <w:bodyDiv w:val="1"/>
      <w:marLeft w:val="0"/>
      <w:marRight w:val="0"/>
      <w:marTop w:val="0"/>
      <w:marBottom w:val="0"/>
      <w:divBdr>
        <w:top w:val="none" w:sz="0" w:space="0" w:color="auto"/>
        <w:left w:val="none" w:sz="0" w:space="0" w:color="auto"/>
        <w:bottom w:val="none" w:sz="0" w:space="0" w:color="auto"/>
        <w:right w:val="none" w:sz="0" w:space="0" w:color="auto"/>
      </w:divBdr>
      <w:divsChild>
        <w:div w:id="203106534">
          <w:marLeft w:val="0"/>
          <w:marRight w:val="0"/>
          <w:marTop w:val="0"/>
          <w:marBottom w:val="0"/>
          <w:divBdr>
            <w:top w:val="none" w:sz="0" w:space="0" w:color="auto"/>
            <w:left w:val="none" w:sz="0" w:space="0" w:color="auto"/>
            <w:bottom w:val="none" w:sz="0" w:space="0" w:color="auto"/>
            <w:right w:val="none" w:sz="0" w:space="0" w:color="auto"/>
          </w:divBdr>
          <w:divsChild>
            <w:div w:id="842234185">
              <w:marLeft w:val="0"/>
              <w:marRight w:val="0"/>
              <w:marTop w:val="0"/>
              <w:marBottom w:val="0"/>
              <w:divBdr>
                <w:top w:val="none" w:sz="0" w:space="0" w:color="auto"/>
                <w:left w:val="none" w:sz="0" w:space="0" w:color="auto"/>
                <w:bottom w:val="none" w:sz="0" w:space="0" w:color="auto"/>
                <w:right w:val="none" w:sz="0" w:space="0" w:color="auto"/>
              </w:divBdr>
              <w:divsChild>
                <w:div w:id="754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98850">
      <w:bodyDiv w:val="1"/>
      <w:marLeft w:val="0"/>
      <w:marRight w:val="0"/>
      <w:marTop w:val="0"/>
      <w:marBottom w:val="0"/>
      <w:divBdr>
        <w:top w:val="none" w:sz="0" w:space="0" w:color="auto"/>
        <w:left w:val="none" w:sz="0" w:space="0" w:color="auto"/>
        <w:bottom w:val="none" w:sz="0" w:space="0" w:color="auto"/>
        <w:right w:val="none" w:sz="0" w:space="0" w:color="auto"/>
      </w:divBdr>
    </w:div>
    <w:div w:id="675499037">
      <w:bodyDiv w:val="1"/>
      <w:marLeft w:val="0"/>
      <w:marRight w:val="0"/>
      <w:marTop w:val="0"/>
      <w:marBottom w:val="0"/>
      <w:divBdr>
        <w:top w:val="none" w:sz="0" w:space="0" w:color="auto"/>
        <w:left w:val="none" w:sz="0" w:space="0" w:color="auto"/>
        <w:bottom w:val="none" w:sz="0" w:space="0" w:color="auto"/>
        <w:right w:val="none" w:sz="0" w:space="0" w:color="auto"/>
      </w:divBdr>
      <w:divsChild>
        <w:div w:id="1140878808">
          <w:marLeft w:val="0"/>
          <w:marRight w:val="0"/>
          <w:marTop w:val="0"/>
          <w:marBottom w:val="0"/>
          <w:divBdr>
            <w:top w:val="none" w:sz="0" w:space="0" w:color="auto"/>
            <w:left w:val="none" w:sz="0" w:space="0" w:color="auto"/>
            <w:bottom w:val="none" w:sz="0" w:space="0" w:color="auto"/>
            <w:right w:val="none" w:sz="0" w:space="0" w:color="auto"/>
          </w:divBdr>
          <w:divsChild>
            <w:div w:id="19860109">
              <w:marLeft w:val="0"/>
              <w:marRight w:val="0"/>
              <w:marTop w:val="0"/>
              <w:marBottom w:val="0"/>
              <w:divBdr>
                <w:top w:val="none" w:sz="0" w:space="0" w:color="auto"/>
                <w:left w:val="none" w:sz="0" w:space="0" w:color="auto"/>
                <w:bottom w:val="none" w:sz="0" w:space="0" w:color="auto"/>
                <w:right w:val="none" w:sz="0" w:space="0" w:color="auto"/>
              </w:divBdr>
              <w:divsChild>
                <w:div w:id="20918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0994">
      <w:bodyDiv w:val="1"/>
      <w:marLeft w:val="0"/>
      <w:marRight w:val="0"/>
      <w:marTop w:val="0"/>
      <w:marBottom w:val="0"/>
      <w:divBdr>
        <w:top w:val="none" w:sz="0" w:space="0" w:color="auto"/>
        <w:left w:val="none" w:sz="0" w:space="0" w:color="auto"/>
        <w:bottom w:val="none" w:sz="0" w:space="0" w:color="auto"/>
        <w:right w:val="none" w:sz="0" w:space="0" w:color="auto"/>
      </w:divBdr>
      <w:divsChild>
        <w:div w:id="189339724">
          <w:marLeft w:val="0"/>
          <w:marRight w:val="0"/>
          <w:marTop w:val="0"/>
          <w:marBottom w:val="0"/>
          <w:divBdr>
            <w:top w:val="none" w:sz="0" w:space="0" w:color="auto"/>
            <w:left w:val="none" w:sz="0" w:space="0" w:color="auto"/>
            <w:bottom w:val="none" w:sz="0" w:space="0" w:color="auto"/>
            <w:right w:val="none" w:sz="0" w:space="0" w:color="auto"/>
          </w:divBdr>
          <w:divsChild>
            <w:div w:id="533426274">
              <w:marLeft w:val="0"/>
              <w:marRight w:val="0"/>
              <w:marTop w:val="0"/>
              <w:marBottom w:val="0"/>
              <w:divBdr>
                <w:top w:val="none" w:sz="0" w:space="0" w:color="auto"/>
                <w:left w:val="none" w:sz="0" w:space="0" w:color="auto"/>
                <w:bottom w:val="none" w:sz="0" w:space="0" w:color="auto"/>
                <w:right w:val="none" w:sz="0" w:space="0" w:color="auto"/>
              </w:divBdr>
              <w:divsChild>
                <w:div w:id="15462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3392">
      <w:bodyDiv w:val="1"/>
      <w:marLeft w:val="0"/>
      <w:marRight w:val="0"/>
      <w:marTop w:val="0"/>
      <w:marBottom w:val="0"/>
      <w:divBdr>
        <w:top w:val="none" w:sz="0" w:space="0" w:color="auto"/>
        <w:left w:val="none" w:sz="0" w:space="0" w:color="auto"/>
        <w:bottom w:val="none" w:sz="0" w:space="0" w:color="auto"/>
        <w:right w:val="none" w:sz="0" w:space="0" w:color="auto"/>
      </w:divBdr>
      <w:divsChild>
        <w:div w:id="1831211944">
          <w:marLeft w:val="0"/>
          <w:marRight w:val="0"/>
          <w:marTop w:val="0"/>
          <w:marBottom w:val="0"/>
          <w:divBdr>
            <w:top w:val="none" w:sz="0" w:space="0" w:color="auto"/>
            <w:left w:val="none" w:sz="0" w:space="0" w:color="auto"/>
            <w:bottom w:val="none" w:sz="0" w:space="0" w:color="auto"/>
            <w:right w:val="none" w:sz="0" w:space="0" w:color="auto"/>
          </w:divBdr>
          <w:divsChild>
            <w:div w:id="1403331909">
              <w:marLeft w:val="0"/>
              <w:marRight w:val="0"/>
              <w:marTop w:val="0"/>
              <w:marBottom w:val="0"/>
              <w:divBdr>
                <w:top w:val="none" w:sz="0" w:space="0" w:color="auto"/>
                <w:left w:val="none" w:sz="0" w:space="0" w:color="auto"/>
                <w:bottom w:val="none" w:sz="0" w:space="0" w:color="auto"/>
                <w:right w:val="none" w:sz="0" w:space="0" w:color="auto"/>
              </w:divBdr>
              <w:divsChild>
                <w:div w:id="12323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7827">
      <w:bodyDiv w:val="1"/>
      <w:marLeft w:val="0"/>
      <w:marRight w:val="0"/>
      <w:marTop w:val="0"/>
      <w:marBottom w:val="0"/>
      <w:divBdr>
        <w:top w:val="none" w:sz="0" w:space="0" w:color="auto"/>
        <w:left w:val="none" w:sz="0" w:space="0" w:color="auto"/>
        <w:bottom w:val="none" w:sz="0" w:space="0" w:color="auto"/>
        <w:right w:val="none" w:sz="0" w:space="0" w:color="auto"/>
      </w:divBdr>
      <w:divsChild>
        <w:div w:id="1974679717">
          <w:marLeft w:val="0"/>
          <w:marRight w:val="0"/>
          <w:marTop w:val="0"/>
          <w:marBottom w:val="0"/>
          <w:divBdr>
            <w:top w:val="none" w:sz="0" w:space="0" w:color="auto"/>
            <w:left w:val="none" w:sz="0" w:space="0" w:color="auto"/>
            <w:bottom w:val="none" w:sz="0" w:space="0" w:color="auto"/>
            <w:right w:val="none" w:sz="0" w:space="0" w:color="auto"/>
          </w:divBdr>
          <w:divsChild>
            <w:div w:id="142895168">
              <w:marLeft w:val="0"/>
              <w:marRight w:val="0"/>
              <w:marTop w:val="0"/>
              <w:marBottom w:val="0"/>
              <w:divBdr>
                <w:top w:val="none" w:sz="0" w:space="0" w:color="auto"/>
                <w:left w:val="none" w:sz="0" w:space="0" w:color="auto"/>
                <w:bottom w:val="none" w:sz="0" w:space="0" w:color="auto"/>
                <w:right w:val="none" w:sz="0" w:space="0" w:color="auto"/>
              </w:divBdr>
              <w:divsChild>
                <w:div w:id="18113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46047">
      <w:bodyDiv w:val="1"/>
      <w:marLeft w:val="0"/>
      <w:marRight w:val="0"/>
      <w:marTop w:val="0"/>
      <w:marBottom w:val="0"/>
      <w:divBdr>
        <w:top w:val="none" w:sz="0" w:space="0" w:color="auto"/>
        <w:left w:val="none" w:sz="0" w:space="0" w:color="auto"/>
        <w:bottom w:val="none" w:sz="0" w:space="0" w:color="auto"/>
        <w:right w:val="none" w:sz="0" w:space="0" w:color="auto"/>
      </w:divBdr>
      <w:divsChild>
        <w:div w:id="429085841">
          <w:marLeft w:val="0"/>
          <w:marRight w:val="0"/>
          <w:marTop w:val="0"/>
          <w:marBottom w:val="0"/>
          <w:divBdr>
            <w:top w:val="none" w:sz="0" w:space="0" w:color="auto"/>
            <w:left w:val="none" w:sz="0" w:space="0" w:color="auto"/>
            <w:bottom w:val="none" w:sz="0" w:space="0" w:color="auto"/>
            <w:right w:val="none" w:sz="0" w:space="0" w:color="auto"/>
          </w:divBdr>
          <w:divsChild>
            <w:div w:id="1341350322">
              <w:marLeft w:val="0"/>
              <w:marRight w:val="0"/>
              <w:marTop w:val="0"/>
              <w:marBottom w:val="0"/>
              <w:divBdr>
                <w:top w:val="none" w:sz="0" w:space="0" w:color="auto"/>
                <w:left w:val="none" w:sz="0" w:space="0" w:color="auto"/>
                <w:bottom w:val="none" w:sz="0" w:space="0" w:color="auto"/>
                <w:right w:val="none" w:sz="0" w:space="0" w:color="auto"/>
              </w:divBdr>
              <w:divsChild>
                <w:div w:id="938753551">
                  <w:marLeft w:val="0"/>
                  <w:marRight w:val="0"/>
                  <w:marTop w:val="0"/>
                  <w:marBottom w:val="0"/>
                  <w:divBdr>
                    <w:top w:val="none" w:sz="0" w:space="0" w:color="auto"/>
                    <w:left w:val="none" w:sz="0" w:space="0" w:color="auto"/>
                    <w:bottom w:val="none" w:sz="0" w:space="0" w:color="auto"/>
                    <w:right w:val="none" w:sz="0" w:space="0" w:color="auto"/>
                  </w:divBdr>
                  <w:divsChild>
                    <w:div w:id="2630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46447">
      <w:bodyDiv w:val="1"/>
      <w:marLeft w:val="0"/>
      <w:marRight w:val="0"/>
      <w:marTop w:val="0"/>
      <w:marBottom w:val="0"/>
      <w:divBdr>
        <w:top w:val="none" w:sz="0" w:space="0" w:color="auto"/>
        <w:left w:val="none" w:sz="0" w:space="0" w:color="auto"/>
        <w:bottom w:val="none" w:sz="0" w:space="0" w:color="auto"/>
        <w:right w:val="none" w:sz="0" w:space="0" w:color="auto"/>
      </w:divBdr>
      <w:divsChild>
        <w:div w:id="79841578">
          <w:marLeft w:val="0"/>
          <w:marRight w:val="0"/>
          <w:marTop w:val="0"/>
          <w:marBottom w:val="0"/>
          <w:divBdr>
            <w:top w:val="none" w:sz="0" w:space="0" w:color="auto"/>
            <w:left w:val="none" w:sz="0" w:space="0" w:color="auto"/>
            <w:bottom w:val="none" w:sz="0" w:space="0" w:color="auto"/>
            <w:right w:val="none" w:sz="0" w:space="0" w:color="auto"/>
          </w:divBdr>
          <w:divsChild>
            <w:div w:id="461384060">
              <w:marLeft w:val="0"/>
              <w:marRight w:val="0"/>
              <w:marTop w:val="0"/>
              <w:marBottom w:val="0"/>
              <w:divBdr>
                <w:top w:val="none" w:sz="0" w:space="0" w:color="auto"/>
                <w:left w:val="none" w:sz="0" w:space="0" w:color="auto"/>
                <w:bottom w:val="none" w:sz="0" w:space="0" w:color="auto"/>
                <w:right w:val="none" w:sz="0" w:space="0" w:color="auto"/>
              </w:divBdr>
              <w:divsChild>
                <w:div w:id="1975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6907">
      <w:bodyDiv w:val="1"/>
      <w:marLeft w:val="0"/>
      <w:marRight w:val="0"/>
      <w:marTop w:val="0"/>
      <w:marBottom w:val="0"/>
      <w:divBdr>
        <w:top w:val="none" w:sz="0" w:space="0" w:color="auto"/>
        <w:left w:val="none" w:sz="0" w:space="0" w:color="auto"/>
        <w:bottom w:val="none" w:sz="0" w:space="0" w:color="auto"/>
        <w:right w:val="none" w:sz="0" w:space="0" w:color="auto"/>
      </w:divBdr>
    </w:div>
    <w:div w:id="1894535749">
      <w:bodyDiv w:val="1"/>
      <w:marLeft w:val="0"/>
      <w:marRight w:val="0"/>
      <w:marTop w:val="0"/>
      <w:marBottom w:val="0"/>
      <w:divBdr>
        <w:top w:val="none" w:sz="0" w:space="0" w:color="auto"/>
        <w:left w:val="none" w:sz="0" w:space="0" w:color="auto"/>
        <w:bottom w:val="none" w:sz="0" w:space="0" w:color="auto"/>
        <w:right w:val="none" w:sz="0" w:space="0" w:color="auto"/>
      </w:divBdr>
    </w:div>
    <w:div w:id="1974555313">
      <w:bodyDiv w:val="1"/>
      <w:marLeft w:val="0"/>
      <w:marRight w:val="0"/>
      <w:marTop w:val="0"/>
      <w:marBottom w:val="0"/>
      <w:divBdr>
        <w:top w:val="none" w:sz="0" w:space="0" w:color="auto"/>
        <w:left w:val="none" w:sz="0" w:space="0" w:color="auto"/>
        <w:bottom w:val="none" w:sz="0" w:space="0" w:color="auto"/>
        <w:right w:val="none" w:sz="0" w:space="0" w:color="auto"/>
      </w:divBdr>
    </w:div>
    <w:div w:id="2035157060">
      <w:bodyDiv w:val="1"/>
      <w:marLeft w:val="0"/>
      <w:marRight w:val="0"/>
      <w:marTop w:val="0"/>
      <w:marBottom w:val="0"/>
      <w:divBdr>
        <w:top w:val="none" w:sz="0" w:space="0" w:color="auto"/>
        <w:left w:val="none" w:sz="0" w:space="0" w:color="auto"/>
        <w:bottom w:val="none" w:sz="0" w:space="0" w:color="auto"/>
        <w:right w:val="none" w:sz="0" w:space="0" w:color="auto"/>
      </w:divBdr>
      <w:divsChild>
        <w:div w:id="152453411">
          <w:marLeft w:val="0"/>
          <w:marRight w:val="0"/>
          <w:marTop w:val="0"/>
          <w:marBottom w:val="0"/>
          <w:divBdr>
            <w:top w:val="none" w:sz="0" w:space="0" w:color="auto"/>
            <w:left w:val="none" w:sz="0" w:space="0" w:color="auto"/>
            <w:bottom w:val="none" w:sz="0" w:space="0" w:color="auto"/>
            <w:right w:val="none" w:sz="0" w:space="0" w:color="auto"/>
          </w:divBdr>
          <w:divsChild>
            <w:div w:id="1787188750">
              <w:marLeft w:val="0"/>
              <w:marRight w:val="0"/>
              <w:marTop w:val="0"/>
              <w:marBottom w:val="0"/>
              <w:divBdr>
                <w:top w:val="none" w:sz="0" w:space="0" w:color="auto"/>
                <w:left w:val="none" w:sz="0" w:space="0" w:color="auto"/>
                <w:bottom w:val="none" w:sz="0" w:space="0" w:color="auto"/>
                <w:right w:val="none" w:sz="0" w:space="0" w:color="auto"/>
              </w:divBdr>
              <w:divsChild>
                <w:div w:id="14054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2796">
      <w:bodyDiv w:val="1"/>
      <w:marLeft w:val="0"/>
      <w:marRight w:val="0"/>
      <w:marTop w:val="0"/>
      <w:marBottom w:val="0"/>
      <w:divBdr>
        <w:top w:val="none" w:sz="0" w:space="0" w:color="auto"/>
        <w:left w:val="none" w:sz="0" w:space="0" w:color="auto"/>
        <w:bottom w:val="none" w:sz="0" w:space="0" w:color="auto"/>
        <w:right w:val="none" w:sz="0" w:space="0" w:color="auto"/>
      </w:divBdr>
      <w:divsChild>
        <w:div w:id="173689180">
          <w:marLeft w:val="0"/>
          <w:marRight w:val="0"/>
          <w:marTop w:val="0"/>
          <w:marBottom w:val="0"/>
          <w:divBdr>
            <w:top w:val="none" w:sz="0" w:space="0" w:color="auto"/>
            <w:left w:val="none" w:sz="0" w:space="0" w:color="auto"/>
            <w:bottom w:val="none" w:sz="0" w:space="0" w:color="auto"/>
            <w:right w:val="none" w:sz="0" w:space="0" w:color="auto"/>
          </w:divBdr>
          <w:divsChild>
            <w:div w:id="484442215">
              <w:marLeft w:val="0"/>
              <w:marRight w:val="0"/>
              <w:marTop w:val="0"/>
              <w:marBottom w:val="0"/>
              <w:divBdr>
                <w:top w:val="none" w:sz="0" w:space="0" w:color="auto"/>
                <w:left w:val="none" w:sz="0" w:space="0" w:color="auto"/>
                <w:bottom w:val="none" w:sz="0" w:space="0" w:color="auto"/>
                <w:right w:val="none" w:sz="0" w:space="0" w:color="auto"/>
              </w:divBdr>
              <w:divsChild>
                <w:div w:id="17148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13</Pages>
  <Words>6330</Words>
  <Characters>36082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CWLC</Company>
  <LinksUpToDate>false</LinksUpToDate>
  <CharactersWithSpaces>42328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Cacilia Kim</dc:creator>
  <cp:keywords/>
  <dc:description/>
  <cp:lastModifiedBy>Amy Poyer</cp:lastModifiedBy>
  <cp:revision>49</cp:revision>
  <cp:lastPrinted>2019-12-13T23:02:00Z</cp:lastPrinted>
  <dcterms:created xsi:type="dcterms:W3CDTF">2019-12-02T21:12:00Z</dcterms:created>
  <dcterms:modified xsi:type="dcterms:W3CDTF">2019-12-14T01:38:00Z</dcterms:modified>
</cp:coreProperties>
</file>